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7057"/>
      </w:tblGrid>
      <w:tr w:rsidR="0026664D" w:rsidRPr="0073645A" w14:paraId="5A14E01C" w14:textId="77777777">
        <w:trPr>
          <w:trHeight w:val="510"/>
        </w:trPr>
        <w:tc>
          <w:tcPr>
            <w:tcW w:w="171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0744" w14:textId="77777777" w:rsidR="0026664D" w:rsidRPr="0073645A" w:rsidRDefault="0083730B">
            <w:pPr>
              <w:tabs>
                <w:tab w:val="left" w:pos="1418"/>
              </w:tabs>
              <w:rPr>
                <w:sz w:val="28"/>
              </w:rPr>
            </w:pPr>
            <w:r w:rsidRPr="0073645A">
              <w:rPr>
                <w:rFonts w:ascii="Calibri" w:eastAsia="Calibri" w:hAnsi="Calibri" w:cs="Calibri"/>
                <w:color w:val="000000"/>
                <w:szCs w:val="22"/>
              </w:rPr>
              <w:t>INTERESSADO</w:t>
            </w:r>
          </w:p>
        </w:tc>
        <w:tc>
          <w:tcPr>
            <w:tcW w:w="7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C2C" w14:textId="77777777" w:rsidR="0026664D" w:rsidRPr="0073645A" w:rsidRDefault="0083730B">
            <w:pPr>
              <w:tabs>
                <w:tab w:val="left" w:pos="1418"/>
              </w:tabs>
              <w:rPr>
                <w:sz w:val="28"/>
              </w:rPr>
            </w:pPr>
            <w:r w:rsidRPr="0073645A">
              <w:rPr>
                <w:rFonts w:ascii="Calibri" w:eastAsia="Calibri" w:hAnsi="Calibri" w:cs="Calibri"/>
                <w:szCs w:val="22"/>
              </w:rPr>
              <w:t>COMISSÃO DE PATRIMÔNIO CULTURAL DO CAU/RS (CPC-CAU/RS)</w:t>
            </w:r>
          </w:p>
        </w:tc>
      </w:tr>
      <w:tr w:rsidR="0026664D" w:rsidRPr="0073645A" w14:paraId="7FBE63C3" w14:textId="77777777">
        <w:trPr>
          <w:trHeight w:val="510"/>
        </w:trPr>
        <w:tc>
          <w:tcPr>
            <w:tcW w:w="171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80FD" w14:textId="77777777" w:rsidR="0026664D" w:rsidRPr="0073645A" w:rsidRDefault="0083730B">
            <w:pPr>
              <w:tabs>
                <w:tab w:val="left" w:pos="1418"/>
              </w:tabs>
              <w:rPr>
                <w:sz w:val="28"/>
              </w:rPr>
            </w:pPr>
            <w:r w:rsidRPr="0073645A">
              <w:rPr>
                <w:rFonts w:ascii="Calibri" w:eastAsia="Calibri" w:hAnsi="Calibri" w:cs="Calibri"/>
                <w:color w:val="000000"/>
                <w:szCs w:val="22"/>
              </w:rPr>
              <w:t>ASSUNTO</w:t>
            </w:r>
          </w:p>
        </w:tc>
        <w:tc>
          <w:tcPr>
            <w:tcW w:w="7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5C8D" w14:textId="547F0FCC" w:rsidR="0026664D" w:rsidRPr="0073645A" w:rsidRDefault="007D1083">
            <w:pPr>
              <w:spacing w:line="256" w:lineRule="auto"/>
              <w:jc w:val="both"/>
              <w:rPr>
                <w:sz w:val="28"/>
              </w:rPr>
            </w:pPr>
            <w:r w:rsidRPr="0073645A">
              <w:rPr>
                <w:rFonts w:ascii="Calibri" w:eastAsia="Calibri" w:hAnsi="Calibri" w:cs="Calibri"/>
                <w:szCs w:val="22"/>
              </w:rPr>
              <w:t>RESPOSTA AO MP VIAMÃO</w:t>
            </w:r>
          </w:p>
        </w:tc>
      </w:tr>
      <w:tr w:rsidR="0026664D" w:rsidRPr="0073645A" w14:paraId="75401565" w14:textId="77777777">
        <w:trPr>
          <w:trHeight w:val="405"/>
        </w:trPr>
        <w:tc>
          <w:tcPr>
            <w:tcW w:w="8775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282D" w14:textId="38A4A2CE" w:rsidR="0026664D" w:rsidRPr="0073645A" w:rsidRDefault="0083730B">
            <w:pPr>
              <w:tabs>
                <w:tab w:val="left" w:pos="1418"/>
              </w:tabs>
              <w:jc w:val="center"/>
              <w:rPr>
                <w:sz w:val="28"/>
              </w:rPr>
            </w:pPr>
            <w:r w:rsidRPr="0073645A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DELIBERAÇÃO Nº 01</w:t>
            </w:r>
            <w:r w:rsidR="00AB5F12" w:rsidRPr="0073645A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6</w:t>
            </w:r>
            <w:r w:rsidRPr="0073645A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/2023 – CPC-CAU/RS</w:t>
            </w:r>
          </w:p>
        </w:tc>
      </w:tr>
    </w:tbl>
    <w:p w14:paraId="3681B5BC" w14:textId="77777777" w:rsidR="0026664D" w:rsidRPr="0073645A" w:rsidRDefault="0083730B">
      <w:pPr>
        <w:rPr>
          <w:sz w:val="28"/>
        </w:rPr>
      </w:pPr>
      <w:r w:rsidRPr="0073645A">
        <w:rPr>
          <w:rFonts w:ascii="Calibri" w:eastAsia="Calibri" w:hAnsi="Calibri" w:cs="Calibri"/>
          <w:szCs w:val="22"/>
        </w:rPr>
        <w:t xml:space="preserve"> </w:t>
      </w:r>
    </w:p>
    <w:p w14:paraId="2925B275" w14:textId="686708C4" w:rsidR="0026664D" w:rsidRPr="0073645A" w:rsidRDefault="0083730B">
      <w:pPr>
        <w:tabs>
          <w:tab w:val="left" w:pos="1418"/>
        </w:tabs>
        <w:spacing w:after="120"/>
        <w:jc w:val="both"/>
        <w:rPr>
          <w:rFonts w:ascii="Calibri" w:eastAsia="Calibri" w:hAnsi="Calibri" w:cs="Calibri"/>
          <w:szCs w:val="22"/>
        </w:rPr>
      </w:pPr>
      <w:r w:rsidRPr="0073645A">
        <w:rPr>
          <w:rFonts w:ascii="Calibri" w:eastAsia="Calibri" w:hAnsi="Calibri" w:cs="Calibri"/>
          <w:szCs w:val="22"/>
        </w:rPr>
        <w:t>A COMISSÃO DE PATRIMÔNIO CULTURAL – CPC-CAU/RS, reunida ordinariamente</w:t>
      </w:r>
      <w:r w:rsidR="00323D27" w:rsidRPr="0073645A">
        <w:rPr>
          <w:rFonts w:ascii="Calibri" w:eastAsia="Calibri" w:hAnsi="Calibri" w:cs="Calibri"/>
          <w:szCs w:val="22"/>
        </w:rPr>
        <w:t>,</w:t>
      </w:r>
      <w:r w:rsidRPr="0073645A">
        <w:rPr>
          <w:rFonts w:ascii="Calibri" w:eastAsia="Calibri" w:hAnsi="Calibri" w:cs="Calibri"/>
          <w:szCs w:val="22"/>
        </w:rPr>
        <w:t xml:space="preserve"> na sede do CAU/RS em Porto Alegre – RS, no dia 06 de sete</w:t>
      </w:r>
      <w:r w:rsidR="007D1083" w:rsidRPr="0073645A">
        <w:rPr>
          <w:rFonts w:ascii="Calibri" w:eastAsia="Calibri" w:hAnsi="Calibri" w:cs="Calibri"/>
          <w:szCs w:val="22"/>
        </w:rPr>
        <w:t>m</w:t>
      </w:r>
      <w:r w:rsidRPr="0073645A">
        <w:rPr>
          <w:rFonts w:ascii="Calibri" w:eastAsia="Calibri" w:hAnsi="Calibri" w:cs="Calibri"/>
          <w:szCs w:val="22"/>
        </w:rPr>
        <w:t xml:space="preserve">bro de 2023, no uso das competências que lhe conferem o artigo 99, do Regimento Interno do CAU/RS, após análise do assunto em epígrafe; </w:t>
      </w:r>
    </w:p>
    <w:p w14:paraId="055D13F7" w14:textId="157D88CC" w:rsidR="0073645A" w:rsidRPr="0073645A" w:rsidRDefault="0073645A" w:rsidP="0073645A">
      <w:pPr>
        <w:tabs>
          <w:tab w:val="left" w:pos="1418"/>
        </w:tabs>
        <w:spacing w:before="120" w:after="120"/>
        <w:jc w:val="both"/>
        <w:rPr>
          <w:rFonts w:ascii="Calibri" w:eastAsia="Calibri" w:hAnsi="Calibri" w:cs="Calibri"/>
          <w:szCs w:val="22"/>
        </w:rPr>
      </w:pPr>
      <w:r w:rsidRPr="0073645A">
        <w:rPr>
          <w:rFonts w:ascii="Calibri" w:eastAsia="Calibri" w:hAnsi="Calibri" w:cs="Calibri"/>
          <w:szCs w:val="22"/>
        </w:rPr>
        <w:t xml:space="preserve">Considerando o recebimento do ofício nº 00930.000.942/2023-0027, da Promotoria de justiça Especializada de Viamão/RS, o qual dispõe: </w:t>
      </w:r>
    </w:p>
    <w:p w14:paraId="4953D006" w14:textId="77777777" w:rsidR="0073645A" w:rsidRDefault="0073645A" w:rsidP="0073645A">
      <w:pPr>
        <w:tabs>
          <w:tab w:val="left" w:pos="1418"/>
        </w:tabs>
        <w:spacing w:after="120"/>
        <w:ind w:left="2268"/>
        <w:jc w:val="both"/>
        <w:rPr>
          <w:rFonts w:ascii="Calibri" w:eastAsia="Calibri" w:hAnsi="Calibri" w:cs="Calibri"/>
          <w:sz w:val="22"/>
          <w:szCs w:val="22"/>
        </w:rPr>
      </w:pPr>
      <w:r w:rsidRPr="0073645A">
        <w:rPr>
          <w:rFonts w:ascii="Calibri" w:eastAsia="Calibri" w:hAnsi="Calibri" w:cs="Calibri"/>
          <w:sz w:val="22"/>
          <w:szCs w:val="22"/>
        </w:rPr>
        <w:t>Visando instruir o Procedimento n.º 00930.000.942/</w:t>
      </w:r>
      <w:r>
        <w:rPr>
          <w:rFonts w:ascii="Calibri" w:eastAsia="Calibri" w:hAnsi="Calibri" w:cs="Calibri"/>
          <w:sz w:val="22"/>
          <w:szCs w:val="22"/>
        </w:rPr>
        <w:t xml:space="preserve">2023, </w:t>
      </w:r>
      <w:r w:rsidRPr="0073645A">
        <w:rPr>
          <w:rFonts w:ascii="Calibri" w:eastAsia="Calibri" w:hAnsi="Calibri" w:cs="Calibri"/>
          <w:sz w:val="22"/>
          <w:szCs w:val="22"/>
        </w:rPr>
        <w:t>solicito a Vossa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73645A">
        <w:rPr>
          <w:rFonts w:ascii="Calibri" w:eastAsia="Calibri" w:hAnsi="Calibri" w:cs="Calibri"/>
          <w:sz w:val="22"/>
          <w:szCs w:val="22"/>
        </w:rPr>
        <w:t>Senhoria que, no prazo de 30 dias, diga acerca de eventual contribuição quanto ao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73645A">
        <w:rPr>
          <w:rFonts w:ascii="Calibri" w:eastAsia="Calibri" w:hAnsi="Calibri" w:cs="Calibri"/>
          <w:sz w:val="22"/>
          <w:szCs w:val="22"/>
        </w:rPr>
        <w:t xml:space="preserve">disposto na Nota Técnica do IPHAN (cópia </w:t>
      </w:r>
      <w:proofErr w:type="gramStart"/>
      <w:r w:rsidRPr="0073645A">
        <w:rPr>
          <w:rFonts w:ascii="Calibri" w:eastAsia="Calibri" w:hAnsi="Calibri" w:cs="Calibri"/>
          <w:sz w:val="22"/>
          <w:szCs w:val="22"/>
        </w:rPr>
        <w:t>anexa)¹</w:t>
      </w:r>
      <w:proofErr w:type="gramEnd"/>
      <w:r w:rsidRPr="0073645A">
        <w:rPr>
          <w:rFonts w:ascii="Calibri" w:eastAsia="Calibri" w:hAnsi="Calibri" w:cs="Calibri"/>
          <w:sz w:val="22"/>
          <w:szCs w:val="22"/>
        </w:rPr>
        <w:t>, bem como, quanto à viabilidade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73645A">
        <w:rPr>
          <w:rFonts w:ascii="Calibri" w:eastAsia="Calibri" w:hAnsi="Calibri" w:cs="Calibri"/>
          <w:sz w:val="22"/>
          <w:szCs w:val="22"/>
        </w:rPr>
        <w:t>estrutu</w:t>
      </w:r>
      <w:r>
        <w:rPr>
          <w:rFonts w:ascii="Calibri" w:eastAsia="Calibri" w:hAnsi="Calibri" w:cs="Calibri"/>
          <w:sz w:val="22"/>
          <w:szCs w:val="22"/>
        </w:rPr>
        <w:t>rar a simulação com base nessa.</w:t>
      </w:r>
    </w:p>
    <w:p w14:paraId="263BFF15" w14:textId="0D857582" w:rsidR="0026664D" w:rsidRDefault="0083730B" w:rsidP="0073645A">
      <w:pPr>
        <w:tabs>
          <w:tab w:val="left" w:pos="1418"/>
        </w:tabs>
        <w:spacing w:after="120"/>
        <w:jc w:val="both"/>
        <w:rPr>
          <w:rFonts w:ascii="Calibri" w:eastAsia="Calibri" w:hAnsi="Calibri" w:cs="Calibri"/>
          <w:szCs w:val="22"/>
        </w:rPr>
      </w:pPr>
      <w:r w:rsidRPr="0073645A">
        <w:rPr>
          <w:rFonts w:ascii="Calibri" w:eastAsia="Calibri" w:hAnsi="Calibri" w:cs="Calibri"/>
          <w:szCs w:val="22"/>
        </w:rPr>
        <w:t>Considerando as discussões realizadas durante a 6ª Reunião Extraordinária da Comissão Especial de Patrim</w:t>
      </w:r>
      <w:r w:rsidR="0073645A">
        <w:rPr>
          <w:rFonts w:ascii="Calibri" w:eastAsia="Calibri" w:hAnsi="Calibri" w:cs="Calibri"/>
          <w:szCs w:val="22"/>
        </w:rPr>
        <w:t>ônio Cultural;</w:t>
      </w:r>
    </w:p>
    <w:p w14:paraId="29506D7F" w14:textId="158F19B5" w:rsidR="0073645A" w:rsidRPr="0073645A" w:rsidRDefault="0073645A" w:rsidP="00541367">
      <w:pPr>
        <w:tabs>
          <w:tab w:val="left" w:pos="1418"/>
        </w:tabs>
        <w:spacing w:after="1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Considerado a solicitação de resposta </w:t>
      </w:r>
      <w:r w:rsidR="00541367" w:rsidRPr="00541367">
        <w:rPr>
          <w:rFonts w:ascii="Calibri" w:eastAsia="Calibri" w:hAnsi="Calibri" w:cs="Calibri"/>
          <w:szCs w:val="22"/>
        </w:rPr>
        <w:t>de forma</w:t>
      </w:r>
      <w:r w:rsidR="00541367">
        <w:rPr>
          <w:rFonts w:ascii="Calibri" w:eastAsia="Calibri" w:hAnsi="Calibri" w:cs="Calibri"/>
          <w:szCs w:val="22"/>
        </w:rPr>
        <w:t xml:space="preserve"> </w:t>
      </w:r>
      <w:r w:rsidR="00541367" w:rsidRPr="00541367">
        <w:rPr>
          <w:rFonts w:ascii="Calibri" w:eastAsia="Calibri" w:hAnsi="Calibri" w:cs="Calibri"/>
          <w:szCs w:val="22"/>
        </w:rPr>
        <w:t>eletrônica por meio do Portal do Ministério Público na internet (</w:t>
      </w:r>
      <w:hyperlink r:id="rId7" w:history="1">
        <w:r w:rsidR="00541367" w:rsidRPr="001771C5">
          <w:rPr>
            <w:rStyle w:val="Hyperlink"/>
            <w:rFonts w:ascii="Calibri" w:eastAsia="Calibri" w:hAnsi="Calibri" w:cs="Calibri"/>
            <w:szCs w:val="22"/>
          </w:rPr>
          <w:t>https://www.mprs.mp.br/atendimento/envio-de-documentos/</w:t>
        </w:r>
      </w:hyperlink>
      <w:r w:rsidR="00541367" w:rsidRPr="00541367">
        <w:rPr>
          <w:rFonts w:ascii="Calibri" w:eastAsia="Calibri" w:hAnsi="Calibri" w:cs="Calibri"/>
          <w:szCs w:val="22"/>
        </w:rPr>
        <w:t>)</w:t>
      </w:r>
      <w:r w:rsidR="00541367">
        <w:rPr>
          <w:rFonts w:ascii="Calibri" w:eastAsia="Calibri" w:hAnsi="Calibri" w:cs="Calibri"/>
          <w:szCs w:val="22"/>
        </w:rPr>
        <w:t>, com a indicação do número do ofício</w:t>
      </w:r>
      <w:r w:rsidR="00541367" w:rsidRPr="00541367">
        <w:rPr>
          <w:rFonts w:ascii="Calibri" w:eastAsia="Calibri" w:hAnsi="Calibri" w:cs="Calibri"/>
          <w:szCs w:val="22"/>
        </w:rPr>
        <w:t>.</w:t>
      </w:r>
    </w:p>
    <w:p w14:paraId="66B59487" w14:textId="77777777" w:rsidR="0026664D" w:rsidRPr="0073645A" w:rsidRDefault="0083730B">
      <w:pPr>
        <w:tabs>
          <w:tab w:val="center" w:pos="4678"/>
        </w:tabs>
        <w:spacing w:after="120"/>
        <w:jc w:val="both"/>
        <w:rPr>
          <w:sz w:val="28"/>
        </w:rPr>
      </w:pPr>
      <w:r w:rsidRPr="0073645A">
        <w:rPr>
          <w:rFonts w:ascii="Calibri" w:eastAsia="Calibri" w:hAnsi="Calibri" w:cs="Calibri"/>
          <w:b/>
          <w:bCs/>
          <w:szCs w:val="22"/>
        </w:rPr>
        <w:t xml:space="preserve">DELIBERA:                                                                              </w:t>
      </w:r>
    </w:p>
    <w:p w14:paraId="5F0FFF52" w14:textId="16B782E0" w:rsidR="0026664D" w:rsidRPr="0073645A" w:rsidRDefault="00541367">
      <w:pPr>
        <w:pStyle w:val="PargrafodaLista"/>
        <w:numPr>
          <w:ilvl w:val="0"/>
          <w:numId w:val="1"/>
        </w:numPr>
        <w:jc w:val="both"/>
        <w:rPr>
          <w:sz w:val="28"/>
        </w:rPr>
      </w:pPr>
      <w:r>
        <w:rPr>
          <w:rFonts w:ascii="Calibri" w:eastAsia="Calibri" w:hAnsi="Calibri"/>
          <w:szCs w:val="22"/>
        </w:rPr>
        <w:t xml:space="preserve">Por aprovar a minuta de ofício em anexo, em resposta à solicitação da </w:t>
      </w:r>
      <w:r w:rsidRPr="0073645A">
        <w:rPr>
          <w:rFonts w:ascii="Calibri" w:eastAsia="Calibri" w:hAnsi="Calibri" w:cs="Calibri"/>
          <w:szCs w:val="22"/>
        </w:rPr>
        <w:t>Promotoria de justiça Especializada de Viamão/RS</w:t>
      </w:r>
      <w:r>
        <w:rPr>
          <w:rFonts w:ascii="Calibri" w:eastAsia="Calibri" w:hAnsi="Calibri" w:cs="Calibri"/>
          <w:szCs w:val="22"/>
        </w:rPr>
        <w:t>.</w:t>
      </w:r>
    </w:p>
    <w:p w14:paraId="03C2C56F" w14:textId="3E50D790" w:rsidR="0026664D" w:rsidRPr="0073645A" w:rsidRDefault="00541367">
      <w:pPr>
        <w:pStyle w:val="PargrafodaLista"/>
        <w:numPr>
          <w:ilvl w:val="0"/>
          <w:numId w:val="1"/>
        </w:numPr>
        <w:jc w:val="both"/>
        <w:rPr>
          <w:sz w:val="28"/>
        </w:rPr>
      </w:pPr>
      <w:r>
        <w:rPr>
          <w:rFonts w:ascii="Calibri" w:eastAsia="Calibri" w:hAnsi="Calibri"/>
          <w:szCs w:val="22"/>
        </w:rPr>
        <w:t xml:space="preserve">Por encaminhar a presente deliberação à Presidência para que seja providenciado o envio do ofício ao destinatário, de forma eletrônica, pelo </w:t>
      </w:r>
      <w:r w:rsidRPr="00541367">
        <w:rPr>
          <w:rFonts w:ascii="Calibri" w:eastAsia="Calibri" w:hAnsi="Calibri" w:cs="Calibri"/>
          <w:szCs w:val="22"/>
        </w:rPr>
        <w:t>Portal do Ministério Público</w:t>
      </w:r>
      <w:r>
        <w:rPr>
          <w:rFonts w:ascii="Calibri" w:eastAsia="Calibri" w:hAnsi="Calibri" w:cs="Calibri"/>
          <w:szCs w:val="22"/>
        </w:rPr>
        <w:t>, com a maior brevidade possível.</w:t>
      </w:r>
    </w:p>
    <w:p w14:paraId="621CE23A" w14:textId="77777777" w:rsidR="0026664D" w:rsidRPr="0073645A" w:rsidRDefault="0026664D">
      <w:pPr>
        <w:pStyle w:val="PargrafodaLista"/>
        <w:ind w:left="1080"/>
        <w:jc w:val="both"/>
        <w:rPr>
          <w:rFonts w:ascii="Calibri" w:eastAsia="Calibri" w:hAnsi="Calibri" w:cs="Calibri"/>
          <w:szCs w:val="22"/>
        </w:rPr>
      </w:pPr>
    </w:p>
    <w:p w14:paraId="2CBB58D8" w14:textId="2B3AA38D" w:rsidR="0026664D" w:rsidRDefault="00541367" w:rsidP="00541367">
      <w:pPr>
        <w:tabs>
          <w:tab w:val="left" w:pos="3532"/>
        </w:tabs>
        <w:jc w:val="both"/>
        <w:rPr>
          <w:rFonts w:ascii="Calibri" w:eastAsia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szCs w:val="22"/>
        </w:rPr>
        <w:t xml:space="preserve">Com </w:t>
      </w:r>
      <w:r w:rsidRPr="00541367">
        <w:rPr>
          <w:rFonts w:ascii="Calibri" w:eastAsia="Calibri" w:hAnsi="Calibri" w:cs="Calibri"/>
          <w:b/>
          <w:szCs w:val="22"/>
        </w:rPr>
        <w:t>05</w:t>
      </w:r>
      <w:r w:rsidR="0083730B" w:rsidRPr="0073645A">
        <w:rPr>
          <w:rFonts w:ascii="Calibri" w:eastAsia="Calibri" w:hAnsi="Calibri" w:cs="Calibri"/>
          <w:szCs w:val="22"/>
        </w:rPr>
        <w:t xml:space="preserve"> votos </w:t>
      </w:r>
      <w:r>
        <w:rPr>
          <w:rFonts w:ascii="Calibri" w:eastAsia="Calibri" w:hAnsi="Calibri" w:cs="Calibri"/>
          <w:szCs w:val="22"/>
        </w:rPr>
        <w:t>favoráveis da</w:t>
      </w:r>
      <w:r w:rsidR="00392F10"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zCs w:val="22"/>
        </w:rPr>
        <w:t xml:space="preserve"> conselheira</w:t>
      </w:r>
      <w:r w:rsidR="00392F10">
        <w:rPr>
          <w:rFonts w:ascii="Calibri" w:eastAsia="Calibri" w:hAnsi="Calibri" w:cs="Calibri"/>
          <w:szCs w:val="22"/>
        </w:rPr>
        <w:t>s</w:t>
      </w:r>
      <w:r>
        <w:rPr>
          <w:rFonts w:ascii="Calibri" w:eastAsia="Calibri" w:hAnsi="Calibri" w:cs="Calibri"/>
          <w:szCs w:val="22"/>
        </w:rPr>
        <w:t xml:space="preserve"> </w:t>
      </w:r>
      <w:proofErr w:type="spellStart"/>
      <w:r w:rsidRPr="00541367">
        <w:rPr>
          <w:rFonts w:ascii="Calibri" w:eastAsia="Calibri" w:hAnsi="Calibri" w:cs="Calibri"/>
          <w:b/>
          <w:szCs w:val="22"/>
        </w:rPr>
        <w:t>Carline</w:t>
      </w:r>
      <w:proofErr w:type="spellEnd"/>
      <w:r w:rsidRPr="00541367"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 w:rsidRPr="00541367">
        <w:rPr>
          <w:rFonts w:ascii="Calibri" w:eastAsia="Calibri" w:hAnsi="Calibri" w:cs="Calibri"/>
          <w:b/>
          <w:szCs w:val="22"/>
        </w:rPr>
        <w:t>Carazzo</w:t>
      </w:r>
      <w:proofErr w:type="spellEnd"/>
      <w:r w:rsidR="00392F10">
        <w:rPr>
          <w:rFonts w:ascii="Calibri" w:eastAsia="Calibri" w:hAnsi="Calibri" w:cs="Calibri"/>
          <w:b/>
          <w:szCs w:val="22"/>
        </w:rPr>
        <w:t xml:space="preserve"> </w:t>
      </w:r>
      <w:r w:rsidR="00392F10" w:rsidRPr="00392F10">
        <w:rPr>
          <w:rFonts w:ascii="Calibri" w:eastAsia="Calibri" w:hAnsi="Calibri" w:cs="Calibri"/>
          <w:szCs w:val="22"/>
        </w:rPr>
        <w:t>e</w:t>
      </w:r>
      <w:r w:rsidR="00392F10">
        <w:rPr>
          <w:rFonts w:ascii="Calibri" w:eastAsia="Calibri" w:hAnsi="Calibri" w:cs="Calibri"/>
          <w:b/>
          <w:szCs w:val="22"/>
        </w:rPr>
        <w:t xml:space="preserve"> </w:t>
      </w:r>
      <w:r w:rsidR="00392F10" w:rsidRPr="00392F10">
        <w:rPr>
          <w:rFonts w:ascii="Calibri" w:eastAsia="Calibri" w:hAnsi="Calibri" w:cs="Calibri"/>
          <w:b/>
          <w:szCs w:val="22"/>
        </w:rPr>
        <w:t>Márcia Elizabeth Martins</w:t>
      </w:r>
      <w:r w:rsidRPr="00541367"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 xml:space="preserve">e </w:t>
      </w:r>
      <w:r w:rsidR="0083730B" w:rsidRPr="0073645A">
        <w:rPr>
          <w:rFonts w:ascii="Calibri" w:eastAsia="Calibri" w:hAnsi="Calibri" w:cs="Calibri"/>
          <w:szCs w:val="22"/>
        </w:rPr>
        <w:t>dos conselheiros</w:t>
      </w:r>
      <w:r w:rsidR="0083730B" w:rsidRPr="0073645A">
        <w:rPr>
          <w:rFonts w:ascii="Calibri" w:eastAsia="Calibri" w:hAnsi="Calibri" w:cs="Calibri"/>
          <w:b/>
          <w:bCs/>
          <w:szCs w:val="22"/>
        </w:rPr>
        <w:t xml:space="preserve"> Fábio Müller, José Daniel </w:t>
      </w:r>
      <w:proofErr w:type="spellStart"/>
      <w:r w:rsidR="0083730B" w:rsidRPr="0073645A">
        <w:rPr>
          <w:rFonts w:ascii="Calibri" w:eastAsia="Calibri" w:hAnsi="Calibri" w:cs="Calibri"/>
          <w:b/>
          <w:bCs/>
          <w:szCs w:val="22"/>
        </w:rPr>
        <w:t>Craidy</w:t>
      </w:r>
      <w:proofErr w:type="spellEnd"/>
      <w:r w:rsidR="0083730B" w:rsidRPr="0073645A">
        <w:rPr>
          <w:rFonts w:ascii="Calibri" w:eastAsia="Calibri" w:hAnsi="Calibri" w:cs="Calibri"/>
          <w:b/>
          <w:bCs/>
          <w:szCs w:val="22"/>
        </w:rPr>
        <w:t xml:space="preserve"> Simões </w:t>
      </w:r>
      <w:bookmarkStart w:id="0" w:name="_GoBack"/>
      <w:r w:rsidR="0083730B" w:rsidRPr="00C15354">
        <w:rPr>
          <w:rFonts w:ascii="Calibri" w:eastAsia="Calibri" w:hAnsi="Calibri" w:cs="Calibri"/>
          <w:bCs/>
          <w:szCs w:val="22"/>
        </w:rPr>
        <w:t>e</w:t>
      </w:r>
      <w:bookmarkEnd w:id="0"/>
      <w:r w:rsidR="0083730B" w:rsidRPr="0073645A">
        <w:rPr>
          <w:rFonts w:ascii="Calibri" w:eastAsia="Calibri" w:hAnsi="Calibri" w:cs="Calibri"/>
          <w:b/>
          <w:bCs/>
          <w:szCs w:val="22"/>
        </w:rPr>
        <w:t xml:space="preserve"> Lucas Bernardes </w:t>
      </w:r>
      <w:proofErr w:type="spellStart"/>
      <w:r w:rsidR="0083730B" w:rsidRPr="0073645A">
        <w:rPr>
          <w:rFonts w:ascii="Calibri" w:eastAsia="Calibri" w:hAnsi="Calibri" w:cs="Calibri"/>
          <w:b/>
          <w:bCs/>
          <w:szCs w:val="22"/>
        </w:rPr>
        <w:t>Volpatto</w:t>
      </w:r>
      <w:proofErr w:type="spellEnd"/>
      <w:r w:rsidR="0083730B" w:rsidRPr="0073645A">
        <w:rPr>
          <w:rFonts w:ascii="Calibri" w:eastAsia="Calibri" w:hAnsi="Calibri" w:cs="Calibri"/>
          <w:b/>
          <w:bCs/>
          <w:szCs w:val="22"/>
        </w:rPr>
        <w:t xml:space="preserve">. </w:t>
      </w:r>
    </w:p>
    <w:p w14:paraId="0CDED87A" w14:textId="77777777" w:rsidR="00541367" w:rsidRDefault="00541367" w:rsidP="00541367">
      <w:pPr>
        <w:tabs>
          <w:tab w:val="left" w:pos="3532"/>
        </w:tabs>
        <w:jc w:val="both"/>
        <w:rPr>
          <w:rFonts w:ascii="Calibri" w:eastAsia="Calibri" w:hAnsi="Calibri" w:cs="Calibri"/>
          <w:b/>
          <w:bCs/>
          <w:szCs w:val="22"/>
        </w:rPr>
      </w:pPr>
    </w:p>
    <w:p w14:paraId="5C23664F" w14:textId="5518C20F" w:rsidR="00541367" w:rsidRPr="00357CAC" w:rsidRDefault="00541367" w:rsidP="00541367">
      <w:pPr>
        <w:tabs>
          <w:tab w:val="left" w:pos="3532"/>
        </w:tabs>
        <w:jc w:val="both"/>
        <w:rPr>
          <w:rFonts w:ascii="Calibri" w:eastAsia="Calibri" w:hAnsi="Calibri" w:cs="Calibri"/>
        </w:rPr>
      </w:pPr>
      <w:r w:rsidRPr="00357CAC">
        <w:rPr>
          <w:rFonts w:ascii="Calibri" w:hAnsi="Calibri" w:cs="Calibri"/>
          <w:lang w:eastAsia="pt-BR"/>
        </w:rPr>
        <w:t>Esta deliberação entra em vigor na data de sua publicação.</w:t>
      </w:r>
    </w:p>
    <w:p w14:paraId="2A4C2AEA" w14:textId="77777777" w:rsidR="0026664D" w:rsidRDefault="0026664D">
      <w:pPr>
        <w:tabs>
          <w:tab w:val="left" w:pos="3532"/>
        </w:tabs>
        <w:jc w:val="center"/>
        <w:rPr>
          <w:rFonts w:ascii="Calibri" w:eastAsia="Calibri" w:hAnsi="Calibri" w:cs="Calibri"/>
          <w:szCs w:val="22"/>
        </w:rPr>
      </w:pPr>
    </w:p>
    <w:p w14:paraId="4BF8EDB4" w14:textId="77777777" w:rsidR="00541367" w:rsidRDefault="00541367" w:rsidP="00541367">
      <w:pPr>
        <w:spacing w:after="240"/>
        <w:jc w:val="center"/>
        <w:rPr>
          <w:rFonts w:ascii="Calibri" w:eastAsia="Calibri" w:hAnsi="Calibri" w:cs="Calibri"/>
          <w:szCs w:val="22"/>
        </w:rPr>
      </w:pPr>
      <w:r w:rsidRPr="0073645A">
        <w:rPr>
          <w:rFonts w:ascii="Calibri" w:eastAsia="Calibri" w:hAnsi="Calibri" w:cs="Calibri"/>
          <w:szCs w:val="22"/>
        </w:rPr>
        <w:t>Porto Alegre – RS, 06 de setembro de 2023.</w:t>
      </w:r>
    </w:p>
    <w:p w14:paraId="372DD830" w14:textId="77777777" w:rsidR="00392F10" w:rsidRPr="0073645A" w:rsidRDefault="00392F10" w:rsidP="00541367">
      <w:pPr>
        <w:spacing w:after="240"/>
        <w:jc w:val="center"/>
        <w:rPr>
          <w:sz w:val="28"/>
        </w:rPr>
      </w:pPr>
    </w:p>
    <w:p w14:paraId="3815B96F" w14:textId="77777777" w:rsidR="00392F10" w:rsidRDefault="00392F10" w:rsidP="00392F10">
      <w:pPr>
        <w:tabs>
          <w:tab w:val="left" w:pos="3532"/>
        </w:tabs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46FFDA1E" w14:textId="7E1999CA" w:rsidR="00541367" w:rsidRPr="00392F10" w:rsidRDefault="00392F10" w:rsidP="00392F10">
      <w:pPr>
        <w:tabs>
          <w:tab w:val="left" w:pos="3532"/>
        </w:tabs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Coordenadora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- CPC-CAU/RS</w:t>
      </w:r>
    </w:p>
    <w:p w14:paraId="2494CABA" w14:textId="77777777" w:rsidR="00541367" w:rsidRDefault="00541367">
      <w:pPr>
        <w:tabs>
          <w:tab w:val="left" w:pos="3532"/>
        </w:tabs>
        <w:jc w:val="center"/>
        <w:rPr>
          <w:rFonts w:ascii="Calibri" w:eastAsia="Calibri" w:hAnsi="Calibri" w:cs="Calibri"/>
          <w:szCs w:val="22"/>
        </w:rPr>
      </w:pPr>
    </w:p>
    <w:p w14:paraId="66C01668" w14:textId="77777777" w:rsidR="00541367" w:rsidRDefault="00541367">
      <w:pPr>
        <w:tabs>
          <w:tab w:val="left" w:pos="3532"/>
        </w:tabs>
        <w:jc w:val="center"/>
        <w:rPr>
          <w:rFonts w:ascii="Calibri" w:eastAsia="Calibri" w:hAnsi="Calibri" w:cs="Calibri"/>
          <w:szCs w:val="22"/>
        </w:rPr>
      </w:pPr>
    </w:p>
    <w:p w14:paraId="3D38A741" w14:textId="77777777" w:rsidR="00541367" w:rsidRPr="00541367" w:rsidRDefault="00541367" w:rsidP="00541367">
      <w:pPr>
        <w:spacing w:after="360"/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>Ofício PRES/CAU/RS nº ........./2023</w:t>
      </w:r>
    </w:p>
    <w:p w14:paraId="72288B70" w14:textId="6CFCAE34" w:rsidR="00541367" w:rsidRDefault="00541367" w:rsidP="00541367">
      <w:pPr>
        <w:tabs>
          <w:tab w:val="left" w:pos="3532"/>
        </w:tabs>
        <w:jc w:val="right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Porto Alegre, </w:t>
      </w:r>
      <w:proofErr w:type="spellStart"/>
      <w:r>
        <w:rPr>
          <w:rFonts w:ascii="Calibri" w:eastAsia="Calibri" w:hAnsi="Calibri" w:cs="Calibri"/>
          <w:szCs w:val="22"/>
        </w:rPr>
        <w:t>xx</w:t>
      </w:r>
      <w:proofErr w:type="spellEnd"/>
      <w:r>
        <w:rPr>
          <w:rFonts w:ascii="Calibri" w:eastAsia="Calibri" w:hAnsi="Calibri" w:cs="Calibri"/>
          <w:szCs w:val="22"/>
        </w:rPr>
        <w:t xml:space="preserve"> de setembro de 2023.</w:t>
      </w:r>
    </w:p>
    <w:p w14:paraId="1847FBF6" w14:textId="77777777" w:rsidR="00541367" w:rsidRDefault="00541367" w:rsidP="00541367">
      <w:pPr>
        <w:tabs>
          <w:tab w:val="left" w:pos="3532"/>
        </w:tabs>
        <w:jc w:val="right"/>
        <w:rPr>
          <w:rFonts w:ascii="Calibri" w:eastAsia="Calibri" w:hAnsi="Calibri" w:cs="Calibri"/>
          <w:szCs w:val="22"/>
        </w:rPr>
      </w:pPr>
    </w:p>
    <w:p w14:paraId="72E0835C" w14:textId="77777777" w:rsidR="00541367" w:rsidRPr="00541367" w:rsidRDefault="00541367" w:rsidP="00541367">
      <w:pPr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>À Sra.</w:t>
      </w:r>
    </w:p>
    <w:p w14:paraId="2A1C5F6D" w14:textId="77777777" w:rsidR="00541367" w:rsidRPr="00541367" w:rsidRDefault="00541367" w:rsidP="00541367">
      <w:pPr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 xml:space="preserve">Roberta </w:t>
      </w:r>
      <w:proofErr w:type="spellStart"/>
      <w:r w:rsidRPr="00541367">
        <w:rPr>
          <w:rFonts w:asciiTheme="minorHAnsi" w:hAnsiTheme="minorHAnsi" w:cstheme="minorHAnsi"/>
          <w:szCs w:val="22"/>
        </w:rPr>
        <w:t>Morillos</w:t>
      </w:r>
      <w:proofErr w:type="spellEnd"/>
      <w:r w:rsidRPr="00541367">
        <w:rPr>
          <w:rFonts w:asciiTheme="minorHAnsi" w:hAnsiTheme="minorHAnsi" w:cstheme="minorHAnsi"/>
          <w:szCs w:val="22"/>
        </w:rPr>
        <w:t xml:space="preserve"> Teixeira</w:t>
      </w:r>
    </w:p>
    <w:p w14:paraId="1D85ADF2" w14:textId="77777777" w:rsidR="00541367" w:rsidRPr="00541367" w:rsidRDefault="00541367" w:rsidP="00541367">
      <w:pPr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>Promotora de Justi</w:t>
      </w:r>
      <w:r w:rsidRPr="00541367">
        <w:rPr>
          <w:rFonts w:asciiTheme="minorHAnsi" w:hAnsiTheme="minorHAnsi" w:cstheme="minorHAnsi" w:hint="cs"/>
          <w:szCs w:val="22"/>
        </w:rPr>
        <w:t>ç</w:t>
      </w:r>
      <w:r w:rsidRPr="00541367">
        <w:rPr>
          <w:rFonts w:asciiTheme="minorHAnsi" w:hAnsiTheme="minorHAnsi" w:cstheme="minorHAnsi"/>
          <w:szCs w:val="22"/>
        </w:rPr>
        <w:t>a</w:t>
      </w:r>
    </w:p>
    <w:p w14:paraId="2C6ECC1F" w14:textId="77777777" w:rsidR="00541367" w:rsidRPr="00541367" w:rsidRDefault="00541367" w:rsidP="00541367">
      <w:pPr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>Promotoria de Justi</w:t>
      </w:r>
      <w:r w:rsidRPr="00541367">
        <w:rPr>
          <w:rFonts w:asciiTheme="minorHAnsi" w:hAnsiTheme="minorHAnsi" w:cstheme="minorHAnsi" w:hint="eastAsia"/>
          <w:szCs w:val="22"/>
        </w:rPr>
        <w:t>ç</w:t>
      </w:r>
      <w:r w:rsidRPr="00541367">
        <w:rPr>
          <w:rFonts w:asciiTheme="minorHAnsi" w:hAnsiTheme="minorHAnsi" w:cstheme="minorHAnsi"/>
          <w:szCs w:val="22"/>
        </w:rPr>
        <w:t>a Especializada de Viam</w:t>
      </w:r>
      <w:r w:rsidRPr="00541367">
        <w:rPr>
          <w:rFonts w:asciiTheme="minorHAnsi" w:hAnsiTheme="minorHAnsi" w:cstheme="minorHAnsi" w:hint="eastAsia"/>
          <w:szCs w:val="22"/>
        </w:rPr>
        <w:t>ã</w:t>
      </w:r>
      <w:r w:rsidRPr="00541367">
        <w:rPr>
          <w:rFonts w:asciiTheme="minorHAnsi" w:hAnsiTheme="minorHAnsi" w:cstheme="minorHAnsi"/>
          <w:szCs w:val="22"/>
        </w:rPr>
        <w:t>o</w:t>
      </w:r>
    </w:p>
    <w:p w14:paraId="3199855F" w14:textId="77777777" w:rsidR="00541367" w:rsidRPr="00541367" w:rsidRDefault="00541367" w:rsidP="00541367">
      <w:pPr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>Rua Bento Gon</w:t>
      </w:r>
      <w:r w:rsidRPr="00541367">
        <w:rPr>
          <w:rFonts w:asciiTheme="minorHAnsi" w:hAnsiTheme="minorHAnsi" w:cstheme="minorHAnsi" w:hint="cs"/>
          <w:szCs w:val="22"/>
        </w:rPr>
        <w:t>ç</w:t>
      </w:r>
      <w:r w:rsidRPr="00541367">
        <w:rPr>
          <w:rFonts w:asciiTheme="minorHAnsi" w:hAnsiTheme="minorHAnsi" w:cstheme="minorHAnsi"/>
          <w:szCs w:val="22"/>
        </w:rPr>
        <w:t>alves, 76, Bairro Centro, CEP 94410-400, Viam</w:t>
      </w:r>
      <w:r w:rsidRPr="00541367">
        <w:rPr>
          <w:rFonts w:asciiTheme="minorHAnsi" w:hAnsiTheme="minorHAnsi" w:cstheme="minorHAnsi" w:hint="cs"/>
          <w:szCs w:val="22"/>
        </w:rPr>
        <w:t>ã</w:t>
      </w:r>
      <w:r w:rsidRPr="00541367">
        <w:rPr>
          <w:rFonts w:asciiTheme="minorHAnsi" w:hAnsiTheme="minorHAnsi" w:cstheme="minorHAnsi"/>
          <w:szCs w:val="22"/>
        </w:rPr>
        <w:t>o/RS</w:t>
      </w:r>
    </w:p>
    <w:p w14:paraId="699E6B9F" w14:textId="77777777" w:rsidR="00541367" w:rsidRPr="00541367" w:rsidRDefault="00541367" w:rsidP="00541367">
      <w:pPr>
        <w:jc w:val="both"/>
        <w:rPr>
          <w:rFonts w:asciiTheme="minorHAnsi" w:hAnsiTheme="minorHAnsi" w:cstheme="minorHAnsi"/>
          <w:szCs w:val="22"/>
        </w:rPr>
      </w:pPr>
      <w:r w:rsidRPr="00541367">
        <w:rPr>
          <w:rFonts w:asciiTheme="minorHAnsi" w:hAnsiTheme="minorHAnsi" w:cstheme="minorHAnsi"/>
          <w:szCs w:val="22"/>
        </w:rPr>
        <w:t xml:space="preserve">Tel. (51) 34853583 </w:t>
      </w:r>
      <w:r w:rsidRPr="00541367">
        <w:rPr>
          <w:rFonts w:asciiTheme="minorHAnsi" w:hAnsiTheme="minorHAnsi" w:cstheme="minorHAnsi" w:hint="cs"/>
          <w:szCs w:val="22"/>
        </w:rPr>
        <w:t>—</w:t>
      </w:r>
      <w:r w:rsidRPr="00541367">
        <w:rPr>
          <w:rFonts w:asciiTheme="minorHAnsi" w:hAnsiTheme="minorHAnsi" w:cstheme="minorHAnsi"/>
          <w:szCs w:val="22"/>
        </w:rPr>
        <w:t xml:space="preserve"> E-mail: pjespecializadaviamao@mprs.mp.br</w:t>
      </w:r>
    </w:p>
    <w:p w14:paraId="1C99D606" w14:textId="77777777" w:rsidR="00541367" w:rsidRPr="0073645A" w:rsidRDefault="00541367" w:rsidP="00541367">
      <w:pPr>
        <w:tabs>
          <w:tab w:val="left" w:pos="3532"/>
        </w:tabs>
        <w:rPr>
          <w:rFonts w:ascii="Calibri" w:eastAsia="Calibri" w:hAnsi="Calibri" w:cs="Calibri"/>
          <w:szCs w:val="22"/>
        </w:rPr>
      </w:pPr>
    </w:p>
    <w:p w14:paraId="471721AF" w14:textId="4A73F5AF" w:rsidR="0026664D" w:rsidRDefault="00541367" w:rsidP="00541367">
      <w:pPr>
        <w:jc w:val="both"/>
        <w:rPr>
          <w:rFonts w:ascii="Calibri" w:eastAsia="Calibri" w:hAnsi="Calibri" w:cs="Calibri"/>
          <w:szCs w:val="22"/>
        </w:rPr>
      </w:pPr>
      <w:r w:rsidRPr="00541367">
        <w:rPr>
          <w:rFonts w:ascii="Calibri" w:eastAsia="Calibri" w:hAnsi="Calibri" w:cs="Calibri"/>
          <w:szCs w:val="22"/>
        </w:rPr>
        <w:t xml:space="preserve">ASSUNTO: Procedimento nº 00930.000.942/2023 — Procedimento Administrativo </w:t>
      </w:r>
      <w:r w:rsidR="00327C83">
        <w:rPr>
          <w:rFonts w:ascii="Calibri" w:eastAsia="Calibri" w:hAnsi="Calibri" w:cs="Calibri"/>
          <w:szCs w:val="22"/>
        </w:rPr>
        <w:t>–</w:t>
      </w:r>
      <w:r w:rsidRPr="00541367">
        <w:rPr>
          <w:rFonts w:ascii="Calibri" w:eastAsia="Calibri" w:hAnsi="Calibri" w:cs="Calibri"/>
          <w:szCs w:val="22"/>
        </w:rPr>
        <w:t xml:space="preserve"> Projeto</w:t>
      </w:r>
    </w:p>
    <w:p w14:paraId="0C437B91" w14:textId="77777777" w:rsidR="00327C83" w:rsidRDefault="00327C83" w:rsidP="00541367">
      <w:pPr>
        <w:jc w:val="both"/>
        <w:rPr>
          <w:rFonts w:ascii="Calibri" w:eastAsia="Calibri" w:hAnsi="Calibri" w:cs="Calibri"/>
          <w:szCs w:val="22"/>
        </w:rPr>
      </w:pPr>
    </w:p>
    <w:p w14:paraId="5DA521E6" w14:textId="160D932D" w:rsidR="00327C83" w:rsidRDefault="00327C83" w:rsidP="00327C83">
      <w:pPr>
        <w:ind w:left="1134"/>
        <w:jc w:val="both"/>
        <w:rPr>
          <w:rFonts w:ascii="Calibri" w:eastAsia="Calibri" w:hAnsi="Calibri" w:cs="Calibri"/>
          <w:szCs w:val="22"/>
        </w:rPr>
      </w:pPr>
      <w:r w:rsidRPr="00327C83">
        <w:rPr>
          <w:rFonts w:ascii="Calibri" w:eastAsia="Calibri" w:hAnsi="Calibri" w:cs="Calibri"/>
          <w:szCs w:val="22"/>
        </w:rPr>
        <w:t>Excelentíssima Senhora Promotora de Justiça,</w:t>
      </w:r>
    </w:p>
    <w:p w14:paraId="60B6DDB9" w14:textId="77777777" w:rsidR="00327C83" w:rsidRDefault="00327C83" w:rsidP="00327C83">
      <w:pPr>
        <w:ind w:left="1134"/>
        <w:jc w:val="both"/>
        <w:rPr>
          <w:rFonts w:ascii="Calibri" w:eastAsia="Calibri" w:hAnsi="Calibri" w:cs="Calibri"/>
          <w:szCs w:val="22"/>
        </w:rPr>
      </w:pPr>
    </w:p>
    <w:p w14:paraId="19078EC5" w14:textId="77777777" w:rsidR="00327C83" w:rsidRDefault="00327C83" w:rsidP="00327C83">
      <w:pPr>
        <w:pStyle w:val="PargrafodaLista"/>
        <w:numPr>
          <w:ilvl w:val="1"/>
          <w:numId w:val="2"/>
        </w:numPr>
        <w:tabs>
          <w:tab w:val="left" w:pos="1134"/>
        </w:tabs>
        <w:suppressAutoHyphens w:val="0"/>
        <w:autoSpaceDN/>
        <w:spacing w:after="120"/>
        <w:ind w:left="0" w:firstLine="0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 xml:space="preserve">Ao saudá-la, cordialmente, em resposta ao Ofício nº 00930.000.942/2023-0027, de 14 de agosto de 2023, que trata de questões relativas ao andamento do valoroso expediente que tem por finalidade melhorar a condição visual do entorno da Igreja Matriz de Nossa Senhora da Conceição em Viamão/RS, bem tombado pelo IPHAN, cumpre prestar as seguintes informações. </w:t>
      </w:r>
    </w:p>
    <w:p w14:paraId="514105FA" w14:textId="77777777" w:rsidR="00327C83" w:rsidRPr="00327C83" w:rsidRDefault="00327C83" w:rsidP="00327C83">
      <w:pPr>
        <w:pStyle w:val="PargrafodaLista"/>
        <w:numPr>
          <w:ilvl w:val="1"/>
          <w:numId w:val="2"/>
        </w:numPr>
        <w:tabs>
          <w:tab w:val="left" w:pos="1134"/>
        </w:tabs>
        <w:suppressAutoHyphens w:val="0"/>
        <w:autoSpaceDN/>
        <w:spacing w:after="120"/>
        <w:ind w:left="0" w:firstLine="0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O Conselho de Arquitetura e Urbanismo do Rio Grande do Sul – CAU/RS, autarquia federal criada pela Lei nº 12.378/2010, tem a atribuição legal de fiscalizar, disciplinar e orientar o exercício da profissão no âmbito de sua competência territorial, bem como pugnar pela valorização da arquitetura e urbanismo.</w:t>
      </w:r>
    </w:p>
    <w:p w14:paraId="26D10F98" w14:textId="77777777" w:rsidR="00327C83" w:rsidRPr="00327C83" w:rsidRDefault="00327C83" w:rsidP="00327C83">
      <w:pPr>
        <w:pStyle w:val="PargrafodaLista"/>
        <w:numPr>
          <w:ilvl w:val="1"/>
          <w:numId w:val="2"/>
        </w:numPr>
        <w:tabs>
          <w:tab w:val="left" w:pos="1134"/>
        </w:tabs>
        <w:spacing w:after="120"/>
        <w:ind w:left="0" w:firstLine="0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 xml:space="preserve">Com o advento da referida lei – que regulamentou o exercício da Arquitetura e Urbanismo no Brasil e criou os Conselho de Arquitetura e Urbanismo do Brasil e das Unidades Federativas – as atividades, atribuições e campos de atuação dos arquitetos e urbanistas restaram disciplinadas. </w:t>
      </w:r>
    </w:p>
    <w:p w14:paraId="1DF192C6" w14:textId="77777777" w:rsidR="00327C83" w:rsidRDefault="00327C83" w:rsidP="00327C83">
      <w:pPr>
        <w:pStyle w:val="PargrafodaLista"/>
        <w:numPr>
          <w:ilvl w:val="1"/>
          <w:numId w:val="2"/>
        </w:numPr>
        <w:tabs>
          <w:tab w:val="left" w:pos="1134"/>
        </w:tabs>
        <w:spacing w:after="120"/>
        <w:ind w:left="0" w:firstLine="0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A aludida lei define as atribuições dos arquitetos e urbanistas em seu art. 2º, caput e parágrafo único:</w:t>
      </w:r>
    </w:p>
    <w:p w14:paraId="264EB9C5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Art. 2º As atividades e atribuições do arquiteto e urbanista consistem em:</w:t>
      </w:r>
    </w:p>
    <w:p w14:paraId="35397084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I -</w:t>
      </w:r>
      <w:r w:rsidRPr="00D166CD">
        <w:rPr>
          <w:rFonts w:asciiTheme="minorHAnsi" w:hAnsiTheme="minorHAnsi" w:cstheme="minorHAnsi"/>
          <w:sz w:val="22"/>
          <w:szCs w:val="22"/>
        </w:rPr>
        <w:tab/>
        <w:t>supervisão, coordenação, gestão e orientação técnica;</w:t>
      </w:r>
    </w:p>
    <w:p w14:paraId="779E4966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66CD">
        <w:rPr>
          <w:rFonts w:asciiTheme="minorHAnsi" w:hAnsiTheme="minorHAnsi" w:cstheme="minorHAnsi"/>
          <w:b/>
          <w:bCs/>
          <w:sz w:val="22"/>
          <w:szCs w:val="22"/>
        </w:rPr>
        <w:t>II -</w:t>
      </w:r>
      <w:r w:rsidRPr="00D166CD">
        <w:rPr>
          <w:rFonts w:asciiTheme="minorHAnsi" w:hAnsiTheme="minorHAnsi" w:cstheme="minorHAnsi"/>
          <w:b/>
          <w:bCs/>
          <w:sz w:val="22"/>
          <w:szCs w:val="22"/>
        </w:rPr>
        <w:tab/>
        <w:t>coleta de dados, estudo, planejamento, projeto e especificação;</w:t>
      </w:r>
    </w:p>
    <w:p w14:paraId="0E72B8E8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III -</w:t>
      </w:r>
      <w:r w:rsidRPr="00D166CD">
        <w:rPr>
          <w:rFonts w:asciiTheme="minorHAnsi" w:hAnsiTheme="minorHAnsi" w:cstheme="minorHAnsi"/>
          <w:sz w:val="22"/>
          <w:szCs w:val="22"/>
        </w:rPr>
        <w:tab/>
        <w:t>estudo de viabilidade técnica e ambiental;</w:t>
      </w:r>
    </w:p>
    <w:p w14:paraId="622C50A8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IV -</w:t>
      </w:r>
      <w:r w:rsidRPr="00D166CD">
        <w:rPr>
          <w:rFonts w:asciiTheme="minorHAnsi" w:hAnsiTheme="minorHAnsi" w:cstheme="minorHAnsi"/>
          <w:sz w:val="22"/>
          <w:szCs w:val="22"/>
        </w:rPr>
        <w:tab/>
        <w:t>assistência técnica, assessoria e consultoria;</w:t>
      </w:r>
    </w:p>
    <w:p w14:paraId="591F1598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 -</w:t>
      </w:r>
      <w:r w:rsidRPr="00D166CD">
        <w:rPr>
          <w:rFonts w:asciiTheme="minorHAnsi" w:hAnsiTheme="minorHAnsi" w:cstheme="minorHAnsi"/>
          <w:sz w:val="22"/>
          <w:szCs w:val="22"/>
        </w:rPr>
        <w:tab/>
        <w:t>direção de obras e de serviço técnico;</w:t>
      </w:r>
    </w:p>
    <w:p w14:paraId="188C5CE3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lastRenderedPageBreak/>
        <w:t>VI -</w:t>
      </w:r>
      <w:r w:rsidRPr="00D166CD">
        <w:rPr>
          <w:rFonts w:asciiTheme="minorHAnsi" w:hAnsiTheme="minorHAnsi" w:cstheme="minorHAnsi"/>
          <w:sz w:val="22"/>
          <w:szCs w:val="22"/>
        </w:rPr>
        <w:tab/>
        <w:t>vistoria, perícia, avaliação, monitoramento, laudo, parecer técnico, auditoria e arbitragem;</w:t>
      </w:r>
    </w:p>
    <w:p w14:paraId="5BD41CD2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VII - desempenho de cargo e função técnica;</w:t>
      </w:r>
    </w:p>
    <w:p w14:paraId="73629281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VIII - treinamento, ensino, pesquisa e extensão universitária;</w:t>
      </w:r>
    </w:p>
    <w:p w14:paraId="279B667C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66CD">
        <w:rPr>
          <w:rFonts w:asciiTheme="minorHAnsi" w:hAnsiTheme="minorHAnsi" w:cstheme="minorHAnsi"/>
          <w:b/>
          <w:bCs/>
          <w:sz w:val="22"/>
          <w:szCs w:val="22"/>
        </w:rPr>
        <w:t>IX -</w:t>
      </w:r>
      <w:r w:rsidRPr="00D166CD">
        <w:rPr>
          <w:rFonts w:asciiTheme="minorHAnsi" w:hAnsiTheme="minorHAnsi" w:cstheme="minorHAnsi"/>
          <w:b/>
          <w:bCs/>
          <w:sz w:val="22"/>
          <w:szCs w:val="22"/>
        </w:rPr>
        <w:tab/>
        <w:t>desenvolvimento, análise, experimentação, ensaio, padronização, mensuração e controle de qualidade;</w:t>
      </w:r>
    </w:p>
    <w:p w14:paraId="0FB77433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X -</w:t>
      </w:r>
      <w:r w:rsidRPr="00D166CD">
        <w:rPr>
          <w:rFonts w:asciiTheme="minorHAnsi" w:hAnsiTheme="minorHAnsi" w:cstheme="minorHAnsi"/>
          <w:sz w:val="22"/>
          <w:szCs w:val="22"/>
        </w:rPr>
        <w:tab/>
        <w:t>elaboração de orçamento;</w:t>
      </w:r>
    </w:p>
    <w:p w14:paraId="0BF17124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XI -</w:t>
      </w:r>
      <w:r w:rsidRPr="00D166CD">
        <w:rPr>
          <w:rFonts w:asciiTheme="minorHAnsi" w:hAnsiTheme="minorHAnsi" w:cstheme="minorHAnsi"/>
          <w:sz w:val="22"/>
          <w:szCs w:val="22"/>
        </w:rPr>
        <w:tab/>
        <w:t>produção e divulgação técnica especializada; e</w:t>
      </w:r>
    </w:p>
    <w:p w14:paraId="488E36CA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418"/>
          <w:tab w:val="left" w:pos="1843"/>
          <w:tab w:val="left" w:pos="2694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XII - execução, fiscalização e condução de obra, instalação e serviço técnico.</w:t>
      </w:r>
    </w:p>
    <w:p w14:paraId="12D8AC84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D5F0239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Parágrafo único. As atividades de que trata este artigo aplicam-se aos seguintes campos de atuação no setor:</w:t>
      </w:r>
    </w:p>
    <w:p w14:paraId="60E4F602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ABE987F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I -</w:t>
      </w:r>
      <w:r w:rsidRPr="00D166CD">
        <w:rPr>
          <w:rFonts w:asciiTheme="minorHAnsi" w:hAnsiTheme="minorHAnsi" w:cstheme="minorHAnsi"/>
          <w:sz w:val="22"/>
          <w:szCs w:val="22"/>
        </w:rPr>
        <w:tab/>
        <w:t>da Arquitetura e Urbanismo, concepção e execução de projetos;</w:t>
      </w:r>
    </w:p>
    <w:p w14:paraId="0CED1DF3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II -</w:t>
      </w:r>
      <w:r w:rsidRPr="00D166CD">
        <w:rPr>
          <w:rFonts w:asciiTheme="minorHAnsi" w:hAnsiTheme="minorHAnsi" w:cstheme="minorHAnsi"/>
          <w:sz w:val="22"/>
          <w:szCs w:val="22"/>
        </w:rPr>
        <w:tab/>
        <w:t>da Arquitetura de Interiores, concepção e execução de projetos de ambientes;</w:t>
      </w:r>
    </w:p>
    <w:p w14:paraId="7FA2B6A2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66CD">
        <w:rPr>
          <w:rFonts w:asciiTheme="minorHAnsi" w:hAnsiTheme="minorHAnsi" w:cstheme="minorHAnsi"/>
          <w:b/>
          <w:bCs/>
          <w:sz w:val="22"/>
          <w:szCs w:val="22"/>
        </w:rPr>
        <w:t>III -</w:t>
      </w:r>
      <w:r w:rsidRPr="00D166C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 Arquitetura Paisagística, concepção e execução de projetos para espaços externos, livres e abertos, privados ou públicos, como parques e praças, considerados isoladamente ou em sistemas, dentro de várias escalas, inclusive a territorial; </w:t>
      </w:r>
    </w:p>
    <w:p w14:paraId="2045705F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66CD">
        <w:rPr>
          <w:rFonts w:asciiTheme="minorHAnsi" w:hAnsiTheme="minorHAnsi" w:cstheme="minorHAnsi"/>
          <w:b/>
          <w:bCs/>
          <w:sz w:val="22"/>
          <w:szCs w:val="22"/>
        </w:rPr>
        <w:t>IV -</w:t>
      </w:r>
      <w:r w:rsidRPr="00D166CD">
        <w:rPr>
          <w:rFonts w:asciiTheme="minorHAnsi" w:hAnsiTheme="minorHAnsi" w:cstheme="minorHAnsi"/>
          <w:b/>
          <w:bCs/>
          <w:sz w:val="22"/>
          <w:szCs w:val="22"/>
        </w:rPr>
        <w:tab/>
        <w:t>do 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conjuntos e cidades;</w:t>
      </w:r>
    </w:p>
    <w:p w14:paraId="22F4A862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 -</w:t>
      </w:r>
      <w:r w:rsidRPr="00D166CD">
        <w:rPr>
          <w:rFonts w:asciiTheme="minorHAnsi" w:hAnsiTheme="minorHAnsi" w:cstheme="minorHAnsi"/>
          <w:sz w:val="22"/>
          <w:szCs w:val="22"/>
        </w:rPr>
        <w:tab/>
      </w:r>
      <w:r w:rsidRPr="00D166CD">
        <w:rPr>
          <w:rFonts w:asciiTheme="minorHAnsi" w:hAnsiTheme="minorHAnsi" w:cstheme="minorHAnsi"/>
          <w:b/>
          <w:sz w:val="22"/>
          <w:szCs w:val="22"/>
        </w:rPr>
        <w:t xml:space="preserve">do Planejamento Urbano e Regional, planejamento físico-territorial, planos de intervenção no espaço urbano, metropolitano e regional fundamentados nos sistemas de infraestrutura, saneamento básico e ambiental, sistema viário, sinalização, tráfego e trânsito urbano e rural, acessibilidade, gestão territorial e ambiental, parcelamento do solo, loteamento, desmembramento, </w:t>
      </w:r>
      <w:proofErr w:type="spellStart"/>
      <w:r w:rsidRPr="00D166CD">
        <w:rPr>
          <w:rFonts w:asciiTheme="minorHAnsi" w:hAnsiTheme="minorHAnsi" w:cstheme="minorHAnsi"/>
          <w:b/>
          <w:sz w:val="22"/>
          <w:szCs w:val="22"/>
        </w:rPr>
        <w:t>remembramento</w:t>
      </w:r>
      <w:proofErr w:type="spellEnd"/>
      <w:r w:rsidRPr="00D166CD">
        <w:rPr>
          <w:rFonts w:asciiTheme="minorHAnsi" w:hAnsiTheme="minorHAnsi" w:cstheme="minorHAnsi"/>
          <w:b/>
          <w:sz w:val="22"/>
          <w:szCs w:val="22"/>
        </w:rPr>
        <w:t>, arruamento, planejamento urbano, plano diretor, traçado de cidades, desenho urbano, sistema viário, tráfego e trânsito urbano e rural, inventário urbano e regional, assentamentos humanos e requalificação em áreas urbanas e rurais</w:t>
      </w:r>
      <w:r w:rsidRPr="00D166CD">
        <w:rPr>
          <w:rFonts w:asciiTheme="minorHAnsi" w:hAnsiTheme="minorHAnsi" w:cstheme="minorHAnsi"/>
          <w:sz w:val="22"/>
          <w:szCs w:val="22"/>
        </w:rPr>
        <w:t>;</w:t>
      </w:r>
    </w:p>
    <w:p w14:paraId="1EEC701A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VI -</w:t>
      </w:r>
      <w:r w:rsidRPr="00D166CD">
        <w:rPr>
          <w:rFonts w:asciiTheme="minorHAnsi" w:hAnsiTheme="minorHAnsi" w:cstheme="minorHAnsi"/>
          <w:sz w:val="22"/>
          <w:szCs w:val="22"/>
        </w:rPr>
        <w:tab/>
        <w:t xml:space="preserve">da Topografia, elaboração e interpretação de levantamentos topográficos cadastrais para a realização de projetos de arquitetura, de urbanismo e de paisagismo, </w:t>
      </w:r>
      <w:proofErr w:type="spellStart"/>
      <w:r w:rsidRPr="00D166CD">
        <w:rPr>
          <w:rFonts w:asciiTheme="minorHAnsi" w:hAnsiTheme="minorHAnsi" w:cstheme="minorHAnsi"/>
          <w:sz w:val="22"/>
          <w:szCs w:val="22"/>
        </w:rPr>
        <w:t>foto-interpretação</w:t>
      </w:r>
      <w:proofErr w:type="spellEnd"/>
      <w:r w:rsidRPr="00D166CD">
        <w:rPr>
          <w:rFonts w:asciiTheme="minorHAnsi" w:hAnsiTheme="minorHAnsi" w:cstheme="minorHAnsi"/>
          <w:sz w:val="22"/>
          <w:szCs w:val="22"/>
        </w:rPr>
        <w:t>, leitura, interpretação e análise de dados e informações topográficas e sensoriamento remoto;</w:t>
      </w:r>
    </w:p>
    <w:p w14:paraId="6F954745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VII -</w:t>
      </w:r>
      <w:r w:rsidRPr="00D166CD">
        <w:rPr>
          <w:rFonts w:asciiTheme="minorHAnsi" w:hAnsiTheme="minorHAnsi" w:cstheme="minorHAnsi"/>
          <w:sz w:val="22"/>
          <w:szCs w:val="22"/>
        </w:rPr>
        <w:tab/>
        <w:t>da Tecnologia e resistência dos materiais, dos elementos e produtos de construção, patologias e recuperações;</w:t>
      </w:r>
    </w:p>
    <w:p w14:paraId="4CDC1A40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t>VIII -</w:t>
      </w:r>
      <w:r w:rsidRPr="00D166CD">
        <w:rPr>
          <w:rFonts w:asciiTheme="minorHAnsi" w:hAnsiTheme="minorHAnsi" w:cstheme="minorHAnsi"/>
          <w:sz w:val="22"/>
          <w:szCs w:val="22"/>
        </w:rPr>
        <w:tab/>
        <w:t>dos sistemas construtivos e estruturais, estruturas, desenvolvimento de estruturas e aplicação tecnológica de estruturas;</w:t>
      </w:r>
    </w:p>
    <w:p w14:paraId="32E7F094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sz w:val="22"/>
          <w:szCs w:val="22"/>
        </w:rPr>
        <w:lastRenderedPageBreak/>
        <w:t>IX -</w:t>
      </w:r>
      <w:r w:rsidRPr="00D166CD">
        <w:rPr>
          <w:rFonts w:asciiTheme="minorHAnsi" w:hAnsiTheme="minorHAnsi" w:cstheme="minorHAnsi"/>
          <w:sz w:val="22"/>
          <w:szCs w:val="22"/>
        </w:rPr>
        <w:tab/>
        <w:t>de instalações e equipamentos referentes à arquitetura e urbanismo;</w:t>
      </w:r>
    </w:p>
    <w:p w14:paraId="070523C1" w14:textId="77777777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843"/>
        </w:tabs>
        <w:ind w:left="226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66CD">
        <w:rPr>
          <w:rFonts w:asciiTheme="minorHAnsi" w:hAnsiTheme="minorHAnsi" w:cstheme="minorHAnsi"/>
          <w:b/>
          <w:bCs/>
          <w:sz w:val="22"/>
          <w:szCs w:val="22"/>
        </w:rPr>
        <w:t>X -</w:t>
      </w:r>
      <w:r w:rsidRPr="00D166C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do Conforto Ambiental, técnicas referentes ao estabelecimento de condições climáticas, acústicas, </w:t>
      </w:r>
      <w:proofErr w:type="spellStart"/>
      <w:r w:rsidRPr="00D166CD">
        <w:rPr>
          <w:rFonts w:asciiTheme="minorHAnsi" w:hAnsiTheme="minorHAnsi" w:cstheme="minorHAnsi"/>
          <w:b/>
          <w:bCs/>
          <w:sz w:val="22"/>
          <w:szCs w:val="22"/>
        </w:rPr>
        <w:t>lumínicas</w:t>
      </w:r>
      <w:proofErr w:type="spellEnd"/>
      <w:r w:rsidRPr="00D166CD">
        <w:rPr>
          <w:rFonts w:asciiTheme="minorHAnsi" w:hAnsiTheme="minorHAnsi" w:cstheme="minorHAnsi"/>
          <w:b/>
          <w:bCs/>
          <w:sz w:val="22"/>
          <w:szCs w:val="22"/>
        </w:rPr>
        <w:t xml:space="preserve"> e ergonômicas, para a concepção, organização e construção dos espaços;</w:t>
      </w:r>
    </w:p>
    <w:p w14:paraId="0E767814" w14:textId="7703CEFB" w:rsidR="00327C83" w:rsidRPr="00D166CD" w:rsidRDefault="00327C83" w:rsidP="00327C83">
      <w:pPr>
        <w:pStyle w:val="PargrafodaLista"/>
        <w:numPr>
          <w:ilvl w:val="0"/>
          <w:numId w:val="2"/>
        </w:numPr>
        <w:tabs>
          <w:tab w:val="left" w:pos="1134"/>
        </w:tabs>
        <w:spacing w:after="120"/>
        <w:ind w:left="2268" w:firstLine="0"/>
        <w:rPr>
          <w:rFonts w:asciiTheme="minorHAnsi" w:hAnsiTheme="minorHAnsi" w:cstheme="minorHAnsi"/>
          <w:sz w:val="22"/>
          <w:szCs w:val="22"/>
        </w:rPr>
      </w:pPr>
      <w:r w:rsidRPr="00D166CD">
        <w:rPr>
          <w:rFonts w:asciiTheme="minorHAnsi" w:hAnsiTheme="minorHAnsi" w:cstheme="minorHAnsi"/>
          <w:b/>
          <w:bCs/>
          <w:sz w:val="22"/>
          <w:szCs w:val="22"/>
        </w:rPr>
        <w:t>XI -</w:t>
      </w:r>
      <w:r w:rsidRPr="00D166CD">
        <w:rPr>
          <w:rFonts w:asciiTheme="minorHAnsi" w:hAnsiTheme="minorHAnsi" w:cstheme="minorHAnsi"/>
          <w:b/>
          <w:bCs/>
          <w:sz w:val="22"/>
          <w:szCs w:val="22"/>
        </w:rPr>
        <w:tab/>
        <w:t>do Meio Ambiente, Estudo e Avaliação dos Impactos Ambientais, Licenciamento Ambiental, Utilização Racional dos Recursos Disponíveis e Desenvolvimento Sustentável. (</w:t>
      </w:r>
      <w:proofErr w:type="gramStart"/>
      <w:r w:rsidRPr="00D166CD">
        <w:rPr>
          <w:rFonts w:asciiTheme="minorHAnsi" w:hAnsiTheme="minorHAnsi" w:cstheme="minorHAnsi"/>
          <w:b/>
          <w:bCs/>
          <w:sz w:val="22"/>
          <w:szCs w:val="22"/>
        </w:rPr>
        <w:t>grifamos</w:t>
      </w:r>
      <w:proofErr w:type="gramEnd"/>
      <w:r w:rsidRPr="00D166CD">
        <w:rPr>
          <w:rFonts w:asciiTheme="minorHAnsi" w:hAnsiTheme="minorHAnsi" w:cstheme="minorHAnsi"/>
          <w:b/>
          <w:bCs/>
          <w:sz w:val="22"/>
          <w:szCs w:val="22"/>
        </w:rPr>
        <w:t xml:space="preserve">)    </w:t>
      </w:r>
    </w:p>
    <w:p w14:paraId="2845EA77" w14:textId="48915E35" w:rsidR="00327C83" w:rsidRDefault="00327C83" w:rsidP="00D166CD">
      <w:pPr>
        <w:pStyle w:val="PargrafodaLista"/>
        <w:tabs>
          <w:tab w:val="left" w:pos="1134"/>
        </w:tabs>
        <w:spacing w:after="120"/>
        <w:ind w:left="0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5.</w:t>
      </w:r>
      <w:r w:rsidRPr="00327C83">
        <w:rPr>
          <w:rFonts w:asciiTheme="minorHAnsi" w:hAnsiTheme="minorHAnsi" w:cstheme="minorHAnsi"/>
          <w:szCs w:val="22"/>
        </w:rPr>
        <w:tab/>
        <w:t xml:space="preserve">Consequentemente, a atuação de arquitetos e urbanistas ou de empresas de arquitetura e urbanismo devidamente registradas no CAU é </w:t>
      </w:r>
      <w:r w:rsidRPr="00327C83">
        <w:rPr>
          <w:rFonts w:asciiTheme="minorHAnsi" w:hAnsiTheme="minorHAnsi" w:cstheme="minorHAnsi"/>
          <w:b/>
          <w:szCs w:val="22"/>
        </w:rPr>
        <w:t>imprescindível</w:t>
      </w:r>
      <w:r w:rsidRPr="00327C83">
        <w:rPr>
          <w:rFonts w:asciiTheme="minorHAnsi" w:hAnsiTheme="minorHAnsi" w:cstheme="minorHAnsi"/>
          <w:szCs w:val="22"/>
        </w:rPr>
        <w:t xml:space="preserve"> no que se refere à realização de projetos e de simulações em Arquitetura e Urbanismo.</w:t>
      </w:r>
    </w:p>
    <w:p w14:paraId="1E279913" w14:textId="69547345" w:rsidR="00327C83" w:rsidRDefault="00327C83" w:rsidP="00327C83">
      <w:pPr>
        <w:pStyle w:val="PargrafodaLista"/>
        <w:numPr>
          <w:ilvl w:val="1"/>
          <w:numId w:val="3"/>
        </w:numPr>
        <w:tabs>
          <w:tab w:val="left" w:pos="1134"/>
        </w:tabs>
        <w:spacing w:after="120"/>
        <w:ind w:left="0" w:firstLine="0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 xml:space="preserve">Realizadas essas considerações iniciais, no que se refere a aludida Nota Técnica do IPHAN anexada ao ofício em epígrafe, sobre a qual incide vosso questionamento acerca de eventual contribuição do CAU/RS quanto ao seu teor, o CAU/RS entende que o documento elaborado pelo instituto constitui importante </w:t>
      </w:r>
      <w:r>
        <w:rPr>
          <w:rFonts w:asciiTheme="minorHAnsi" w:hAnsiTheme="minorHAnsi" w:cstheme="minorHAnsi"/>
          <w:szCs w:val="22"/>
        </w:rPr>
        <w:t>instrumento</w:t>
      </w:r>
      <w:r w:rsidRPr="00327C83">
        <w:rPr>
          <w:rFonts w:asciiTheme="minorHAnsi" w:hAnsiTheme="minorHAnsi" w:cstheme="minorHAnsi"/>
          <w:szCs w:val="22"/>
        </w:rPr>
        <w:t xml:space="preserve"> para subsidiar a tomada de decisão bem como para auxiliar na construção da legislação municipal sobre o tema. Importa mencionar que não cabe ao CAU/RS adentrar no mérito da Nota Técnica do IPHAN, tendo presente a preservação das competências de ambas entidades. Nesse contexto, havendo o tombamento nacional do bem e de seu entorno pelo Instituto, cabe ao IPHAN a definição quanto à forma e limites das possíveis intervenções, presumindo-se que todas as orientações exaradas seguem os normativos aplicáveis à espécie.</w:t>
      </w:r>
    </w:p>
    <w:p w14:paraId="67D7064A" w14:textId="1A177810" w:rsidR="00327C83" w:rsidRDefault="00327C83" w:rsidP="00327C83">
      <w:pPr>
        <w:pStyle w:val="PargrafodaLista"/>
        <w:numPr>
          <w:ilvl w:val="1"/>
          <w:numId w:val="3"/>
        </w:numPr>
        <w:tabs>
          <w:tab w:val="left" w:pos="1134"/>
        </w:tabs>
        <w:spacing w:after="120"/>
        <w:ind w:left="0" w:firstLine="0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 xml:space="preserve">Quanto ao segundo ponto, sobre a viabilidade de que o CAU/RS possa estruturar uma simulação visual com base na Nota Técnica do IPHAN, salienta-se que o </w:t>
      </w:r>
      <w:r>
        <w:rPr>
          <w:rFonts w:asciiTheme="minorHAnsi" w:hAnsiTheme="minorHAnsi" w:cstheme="minorHAnsi"/>
          <w:szCs w:val="22"/>
        </w:rPr>
        <w:t xml:space="preserve">Conselho não possui, dentre as </w:t>
      </w:r>
      <w:r w:rsidRPr="00327C83">
        <w:rPr>
          <w:rFonts w:asciiTheme="minorHAnsi" w:hAnsiTheme="minorHAnsi" w:cstheme="minorHAnsi"/>
          <w:szCs w:val="22"/>
        </w:rPr>
        <w:t>suas finalidades, atuação no sentido executivo de elaboração de projetos e simulações em Arquitetura e Urbanismo. Para tanto, nos termos acima explanados esta atividade profissional de elaboração de projetos</w:t>
      </w:r>
      <w:r>
        <w:rPr>
          <w:rFonts w:asciiTheme="minorHAnsi" w:hAnsiTheme="minorHAnsi" w:cstheme="minorHAnsi"/>
          <w:szCs w:val="22"/>
        </w:rPr>
        <w:t xml:space="preserve"> </w:t>
      </w:r>
      <w:r w:rsidRPr="00327C83">
        <w:rPr>
          <w:rFonts w:asciiTheme="minorHAnsi" w:hAnsiTheme="minorHAnsi" w:cstheme="minorHAnsi"/>
          <w:szCs w:val="22"/>
        </w:rPr>
        <w:t xml:space="preserve">e simulações, compete ao profissional Arquiteto e Urbanista com registo ativo no Conselho e mediante o Registro de Responsabilidade Técnica - RRT da atividade profissional. Refere-se que tais profissionais podem inclusive já integrar o quadro de servidores do Município de Viamão/RS, podendo, ainda, ser localizados mediante consulta no próprio site do Conselho em </w:t>
      </w:r>
      <w:hyperlink r:id="rId8" w:history="1">
        <w:r w:rsidRPr="001771C5">
          <w:rPr>
            <w:rStyle w:val="Hyperlink"/>
            <w:rFonts w:asciiTheme="minorHAnsi" w:hAnsiTheme="minorHAnsi" w:cstheme="minorHAnsi"/>
            <w:szCs w:val="22"/>
          </w:rPr>
          <w:t>https://acheumarquiteto.caubr.gov.br/</w:t>
        </w:r>
      </w:hyperlink>
      <w:r w:rsidRPr="00327C83">
        <w:rPr>
          <w:rFonts w:asciiTheme="minorHAnsi" w:hAnsiTheme="minorHAnsi" w:cstheme="minorHAnsi"/>
          <w:szCs w:val="22"/>
        </w:rPr>
        <w:t>.</w:t>
      </w:r>
    </w:p>
    <w:p w14:paraId="4F993B6D" w14:textId="77777777" w:rsidR="00327C83" w:rsidRDefault="00327C83" w:rsidP="00327C83">
      <w:pPr>
        <w:pStyle w:val="PargrafodaLista"/>
        <w:numPr>
          <w:ilvl w:val="1"/>
          <w:numId w:val="3"/>
        </w:numPr>
        <w:tabs>
          <w:tab w:val="left" w:pos="1134"/>
        </w:tabs>
        <w:spacing w:after="120"/>
        <w:ind w:left="0" w:firstLine="0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 xml:space="preserve">Sendo as considerações por ora relevantes, o CAU/RS se coloca à disposição para fornecer outras informações e orientações que se tornarem necessárias, principalmente no que se refere à atuação dos arquitetos e urbanistas. </w:t>
      </w:r>
    </w:p>
    <w:p w14:paraId="3CA66C33" w14:textId="77777777" w:rsidR="00327C83" w:rsidRPr="00327C83" w:rsidRDefault="00327C83" w:rsidP="00D166CD">
      <w:pPr>
        <w:pStyle w:val="PargrafodaLista"/>
        <w:tabs>
          <w:tab w:val="left" w:pos="1134"/>
        </w:tabs>
        <w:spacing w:after="120"/>
        <w:ind w:firstLine="426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Cordiais saudações.</w:t>
      </w:r>
    </w:p>
    <w:p w14:paraId="0B03CCB5" w14:textId="77777777" w:rsidR="00327C83" w:rsidRPr="00327C83" w:rsidRDefault="00327C83" w:rsidP="00D166CD">
      <w:pPr>
        <w:pStyle w:val="PargrafodaLista"/>
        <w:tabs>
          <w:tab w:val="left" w:pos="1134"/>
        </w:tabs>
        <w:spacing w:after="120"/>
        <w:ind w:firstLine="426"/>
        <w:jc w:val="both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Atenciosamente,</w:t>
      </w:r>
    </w:p>
    <w:p w14:paraId="2BD0E2A5" w14:textId="77777777" w:rsidR="00327C83" w:rsidRPr="00327C83" w:rsidRDefault="00327C83" w:rsidP="00327C83">
      <w:pPr>
        <w:pStyle w:val="PargrafodaLista"/>
        <w:tabs>
          <w:tab w:val="left" w:pos="1134"/>
        </w:tabs>
        <w:spacing w:after="120"/>
        <w:jc w:val="both"/>
        <w:rPr>
          <w:rFonts w:asciiTheme="minorHAnsi" w:hAnsiTheme="minorHAnsi" w:cstheme="minorHAnsi"/>
          <w:szCs w:val="22"/>
        </w:rPr>
      </w:pPr>
    </w:p>
    <w:p w14:paraId="079391D6" w14:textId="77777777" w:rsidR="00327C83" w:rsidRPr="00327C83" w:rsidRDefault="00327C83" w:rsidP="00327C83">
      <w:pPr>
        <w:tabs>
          <w:tab w:val="left" w:pos="1134"/>
        </w:tabs>
        <w:jc w:val="center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Tiago Holzmann da Silva</w:t>
      </w:r>
    </w:p>
    <w:p w14:paraId="29B51531" w14:textId="683F911A" w:rsidR="007D1083" w:rsidRPr="00327C83" w:rsidRDefault="00327C83" w:rsidP="00327C83">
      <w:pPr>
        <w:pStyle w:val="PargrafodaLista"/>
        <w:tabs>
          <w:tab w:val="left" w:pos="1134"/>
        </w:tabs>
        <w:ind w:left="0"/>
        <w:jc w:val="center"/>
        <w:rPr>
          <w:rFonts w:asciiTheme="minorHAnsi" w:hAnsiTheme="minorHAnsi" w:cstheme="minorHAnsi"/>
          <w:szCs w:val="22"/>
        </w:rPr>
      </w:pPr>
      <w:r w:rsidRPr="00327C83">
        <w:rPr>
          <w:rFonts w:asciiTheme="minorHAnsi" w:hAnsiTheme="minorHAnsi" w:cstheme="minorHAnsi"/>
          <w:szCs w:val="22"/>
        </w:rPr>
        <w:t>Presidente do CAU/RS</w:t>
      </w:r>
    </w:p>
    <w:sectPr w:rsidR="007D1083" w:rsidRPr="00327C83">
      <w:headerReference w:type="default" r:id="rId9"/>
      <w:footerReference w:type="default" r:id="rId10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8E4D7" w14:textId="77777777" w:rsidR="0083730B" w:rsidRDefault="0083730B">
      <w:r>
        <w:separator/>
      </w:r>
    </w:p>
  </w:endnote>
  <w:endnote w:type="continuationSeparator" w:id="0">
    <w:p w14:paraId="530E382A" w14:textId="77777777" w:rsidR="0083730B" w:rsidRDefault="008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533A2" w14:textId="77777777" w:rsidR="0083730B" w:rsidRDefault="0083730B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7EACBA8" w14:textId="77777777" w:rsidR="0083730B" w:rsidRDefault="0083730B">
    <w:pPr>
      <w:pStyle w:val="Rodap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C15354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7593C4E5" w14:textId="77777777" w:rsidR="0083730B" w:rsidRDefault="0083730B">
    <w:pPr>
      <w:pStyle w:val="Rodap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CEB98AF" w14:textId="77777777" w:rsidR="005B0776" w:rsidRDefault="005B0776"/>
  <w:p w14:paraId="2F276651" w14:textId="77777777" w:rsidR="005B0776" w:rsidRDefault="005B07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05C6" w14:textId="77777777" w:rsidR="0083730B" w:rsidRDefault="0083730B">
      <w:r>
        <w:rPr>
          <w:color w:val="000000"/>
        </w:rPr>
        <w:separator/>
      </w:r>
    </w:p>
  </w:footnote>
  <w:footnote w:type="continuationSeparator" w:id="0">
    <w:p w14:paraId="0C1AF5A1" w14:textId="77777777" w:rsidR="0083730B" w:rsidRDefault="0083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D8DFA" w14:textId="77777777" w:rsidR="0083730B" w:rsidRDefault="0083730B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4961E30" wp14:editId="3E110CDA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429308341" name="Imagem 3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961453" w14:textId="77777777" w:rsidR="005B0776" w:rsidRDefault="005B0776"/>
  <w:p w14:paraId="05C6E755" w14:textId="77777777" w:rsidR="005B0776" w:rsidRDefault="005B07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570"/>
    <w:multiLevelType w:val="multilevel"/>
    <w:tmpl w:val="BACA87F6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78" w:hanging="1800"/>
      </w:pPr>
      <w:rPr>
        <w:rFonts w:hint="default"/>
      </w:rPr>
    </w:lvl>
  </w:abstractNum>
  <w:abstractNum w:abstractNumId="1">
    <w:nsid w:val="12E76B7A"/>
    <w:multiLevelType w:val="multilevel"/>
    <w:tmpl w:val="08A2ACB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26187"/>
    <w:multiLevelType w:val="multilevel"/>
    <w:tmpl w:val="E766BB98"/>
    <w:lvl w:ilvl="0">
      <w:start w:val="28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7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4D"/>
    <w:rsid w:val="0026664D"/>
    <w:rsid w:val="00323D27"/>
    <w:rsid w:val="00327C83"/>
    <w:rsid w:val="00357CAC"/>
    <w:rsid w:val="00392F10"/>
    <w:rsid w:val="00541367"/>
    <w:rsid w:val="005B0776"/>
    <w:rsid w:val="0073645A"/>
    <w:rsid w:val="007D1083"/>
    <w:rsid w:val="0083730B"/>
    <w:rsid w:val="00AB5F12"/>
    <w:rsid w:val="00C15354"/>
    <w:rsid w:val="00D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8040"/>
  <w15:docId w15:val="{42DD1227-E1A8-4D0A-99EC-DC288121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lang w:eastAsia="en-US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customStyle="1" w:styleId="Corpodetexto5">
    <w:name w:val="Corpo de texto 5"/>
    <w:basedOn w:val="Corpodetexto2"/>
    <w:rsid w:val="00327C83"/>
    <w:pPr>
      <w:widowControl w:val="0"/>
      <w:suppressAutoHyphens w:val="0"/>
      <w:autoSpaceDE w:val="0"/>
      <w:spacing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27C8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27C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eumarquiteto.caubr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prs.mp.br/atendimento/envio-de-document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1385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Sabrina Lopes Ourique</cp:lastModifiedBy>
  <cp:revision>8</cp:revision>
  <cp:lastPrinted>2023-08-09T11:56:00Z</cp:lastPrinted>
  <dcterms:created xsi:type="dcterms:W3CDTF">2023-09-06T19:59:00Z</dcterms:created>
  <dcterms:modified xsi:type="dcterms:W3CDTF">2023-09-28T13:45:00Z</dcterms:modified>
</cp:coreProperties>
</file>