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3E1AC" w14:textId="580546EB" w:rsidR="008F494A" w:rsidRPr="00AD50F0" w:rsidRDefault="008F494A" w:rsidP="008F494A">
      <w:pPr>
        <w:spacing w:before="120" w:after="240" w:line="276" w:lineRule="auto"/>
        <w:jc w:val="center"/>
        <w:rPr>
          <w:rFonts w:asciiTheme="minorHAnsi" w:hAnsiTheme="minorHAnsi" w:cstheme="minorHAnsi"/>
          <w:b/>
        </w:rPr>
      </w:pPr>
      <w:r w:rsidRPr="00AD50F0">
        <w:rPr>
          <w:rFonts w:asciiTheme="minorHAnsi" w:hAnsiTheme="minorHAnsi" w:cstheme="minorHAnsi"/>
          <w:b/>
        </w:rPr>
        <w:t>PORTARIA NORMATIVA Nº 00</w:t>
      </w:r>
      <w:r>
        <w:rPr>
          <w:rFonts w:asciiTheme="minorHAnsi" w:hAnsiTheme="minorHAnsi" w:cstheme="minorHAnsi"/>
          <w:b/>
        </w:rPr>
        <w:t>6</w:t>
      </w:r>
      <w:r w:rsidRPr="00AD50F0">
        <w:rPr>
          <w:rFonts w:asciiTheme="minorHAnsi" w:hAnsiTheme="minorHAnsi" w:cstheme="minorHAnsi"/>
          <w:b/>
        </w:rPr>
        <w:t>, DE 22 DE MARÇO DE 2023</w:t>
      </w:r>
    </w:p>
    <w:p w14:paraId="2D1FE03D" w14:textId="77777777" w:rsidR="00635DD8" w:rsidRPr="008F494A" w:rsidRDefault="00635DD8" w:rsidP="008F494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center" w:pos="4253"/>
          <w:tab w:val="left" w:pos="5355"/>
        </w:tabs>
        <w:spacing w:after="200" w:line="276" w:lineRule="auto"/>
        <w:ind w:left="4253"/>
        <w:jc w:val="both"/>
        <w:rPr>
          <w:rFonts w:asciiTheme="minorHAnsi" w:hAnsiTheme="minorHAnsi" w:cstheme="minorHAnsi"/>
          <w:sz w:val="22"/>
          <w:szCs w:val="22"/>
        </w:rPr>
      </w:pPr>
      <w:r w:rsidRPr="008F494A">
        <w:rPr>
          <w:rFonts w:asciiTheme="minorHAnsi" w:hAnsiTheme="minorHAnsi" w:cstheme="minorHAnsi"/>
          <w:sz w:val="22"/>
          <w:szCs w:val="22"/>
        </w:rPr>
        <w:t xml:space="preserve">Dispõe sobre as </w:t>
      </w:r>
      <w:bookmarkStart w:id="0" w:name="_Hlk129619839"/>
      <w:r w:rsidRPr="008F494A">
        <w:rPr>
          <w:rFonts w:asciiTheme="minorHAnsi" w:hAnsiTheme="minorHAnsi" w:cstheme="minorHAnsi"/>
          <w:sz w:val="22"/>
          <w:szCs w:val="22"/>
        </w:rPr>
        <w:t>regras pertinentes à realização de audiências de conciliação, no âmbito dos Processos Ético Disciplinares, e dá outras providências.</w:t>
      </w:r>
      <w:bookmarkEnd w:id="0"/>
    </w:p>
    <w:p w14:paraId="4B4D615F" w14:textId="77777777" w:rsidR="00635DD8" w:rsidRPr="00AD721A" w:rsidRDefault="00635DD8" w:rsidP="008F494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center" w:pos="4252"/>
          <w:tab w:val="left" w:pos="5355"/>
        </w:tabs>
        <w:spacing w:after="200" w:line="276" w:lineRule="auto"/>
        <w:jc w:val="both"/>
        <w:rPr>
          <w:rFonts w:asciiTheme="minorHAnsi" w:hAnsiTheme="minorHAnsi" w:cstheme="minorHAnsi"/>
        </w:rPr>
      </w:pPr>
      <w:r w:rsidRPr="00E9184F">
        <w:rPr>
          <w:rFonts w:asciiTheme="minorHAnsi" w:hAnsiTheme="minorHAnsi" w:cstheme="minorHAnsi"/>
        </w:rPr>
        <w:t xml:space="preserve">O Presidente do Conselho de Arquitetura e Urbanismo do Rio Grande do Sul (CAU/RS), no uso das atribuições que lhe conferem o art. 35, inciso III, da Lei nº 12.378, de 31 de dezembro de 2010, bem como o disposto no art. 65, do Regimento Interno do CAU/RS, aprovado pela Deliberação Plenária nº 145, de 17 de </w:t>
      </w:r>
      <w:r w:rsidRPr="00AD721A">
        <w:rPr>
          <w:rFonts w:asciiTheme="minorHAnsi" w:hAnsiTheme="minorHAnsi" w:cstheme="minorHAnsi"/>
        </w:rPr>
        <w:t>janeiro de 2014;</w:t>
      </w:r>
    </w:p>
    <w:p w14:paraId="729D5512" w14:textId="77777777" w:rsidR="00635DD8" w:rsidRPr="00AD721A" w:rsidRDefault="00635DD8" w:rsidP="008F494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center" w:pos="4252"/>
          <w:tab w:val="left" w:pos="5355"/>
        </w:tabs>
        <w:spacing w:after="200" w:line="276" w:lineRule="auto"/>
        <w:jc w:val="both"/>
        <w:rPr>
          <w:rFonts w:asciiTheme="minorHAnsi" w:hAnsiTheme="minorHAnsi" w:cstheme="minorHAnsi"/>
        </w:rPr>
      </w:pPr>
      <w:r w:rsidRPr="00AD721A">
        <w:rPr>
          <w:rFonts w:asciiTheme="minorHAnsi" w:hAnsiTheme="minorHAnsi" w:cstheme="minorHAnsi"/>
        </w:rPr>
        <w:t>Considerando que o art. 20, da Lei nº 12.378, de 2010, determina que os processos disciplinares dos CAU/UF seguirão as regras constantes da Lei nº 9.784, de 29 de janeiro de 1999, da Lei nº 12.378, de 2010, e, de forma complementar, das resoluções do CAU/BR;</w:t>
      </w:r>
    </w:p>
    <w:p w14:paraId="18D59265" w14:textId="77777777" w:rsidR="00635DD8" w:rsidRPr="00E9184F" w:rsidRDefault="00635DD8" w:rsidP="008F494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center" w:pos="4252"/>
          <w:tab w:val="left" w:pos="5355"/>
        </w:tabs>
        <w:spacing w:after="200" w:line="276" w:lineRule="auto"/>
        <w:jc w:val="both"/>
        <w:rPr>
          <w:rFonts w:asciiTheme="minorHAnsi" w:hAnsiTheme="minorHAnsi" w:cstheme="minorHAnsi"/>
        </w:rPr>
      </w:pPr>
      <w:r w:rsidRPr="00AD721A">
        <w:rPr>
          <w:rFonts w:asciiTheme="minorHAnsi" w:hAnsiTheme="minorHAnsi" w:cstheme="minorHAnsi"/>
        </w:rPr>
        <w:t xml:space="preserve">Considerando o disposto no art. 24, § </w:t>
      </w:r>
      <w:r>
        <w:rPr>
          <w:rFonts w:asciiTheme="minorHAnsi" w:hAnsiTheme="minorHAnsi" w:cstheme="minorHAnsi"/>
        </w:rPr>
        <w:t xml:space="preserve">1º, da Lei nº 12.378, de </w:t>
      </w:r>
      <w:r w:rsidRPr="00E9184F">
        <w:rPr>
          <w:rFonts w:asciiTheme="minorHAnsi" w:hAnsiTheme="minorHAnsi" w:cstheme="minorHAnsi"/>
        </w:rPr>
        <w:t>2010, que estabelece que o Conselho de Arquitetura e Urbanismo do Rio Grande do Sul (CAU/RS) tem como função orientar, disciplinar e fiscalizar o exercício da profissão de Arquitetura e Urbanismo, zelar pela fiel observância dos princípios de ética e disciplina da classe em todo o território nacional, bem como pugnar pelo aperfeiçoamento do exerc</w:t>
      </w:r>
      <w:r>
        <w:rPr>
          <w:rFonts w:asciiTheme="minorHAnsi" w:hAnsiTheme="minorHAnsi" w:cstheme="minorHAnsi"/>
        </w:rPr>
        <w:t>ício da Arquitetura e Urbanismo;</w:t>
      </w:r>
    </w:p>
    <w:p w14:paraId="545DF419" w14:textId="77777777" w:rsidR="00635DD8" w:rsidRPr="00E9184F" w:rsidRDefault="00635DD8" w:rsidP="008F494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center" w:pos="4252"/>
          <w:tab w:val="left" w:pos="5355"/>
        </w:tabs>
        <w:spacing w:after="200" w:line="276" w:lineRule="auto"/>
        <w:jc w:val="both"/>
        <w:rPr>
          <w:rFonts w:asciiTheme="minorHAnsi" w:hAnsiTheme="minorHAnsi" w:cstheme="minorHAnsi"/>
        </w:rPr>
      </w:pPr>
      <w:r w:rsidRPr="00E9184F">
        <w:rPr>
          <w:rFonts w:asciiTheme="minorHAnsi" w:hAnsiTheme="minorHAnsi" w:cstheme="minorHAnsi"/>
        </w:rPr>
        <w:t>Considerando o disposto no art. 34, incisos VIII e IX, da Lei nº 12.378</w:t>
      </w:r>
      <w:r>
        <w:rPr>
          <w:rFonts w:asciiTheme="minorHAnsi" w:hAnsiTheme="minorHAnsi" w:cstheme="minorHAnsi"/>
        </w:rPr>
        <w:t>, de 2010</w:t>
      </w:r>
      <w:r w:rsidRPr="00E9184F">
        <w:rPr>
          <w:rFonts w:asciiTheme="minorHAnsi" w:hAnsiTheme="minorHAnsi" w:cstheme="minorHAnsi"/>
        </w:rPr>
        <w:t>, segundo os quais compete aos CAU/UF fiscalizar o exercício das atividades profissionais da Arquitetura e Urbanismo e julgar em primeira instância os processos disciplinares, na forma que determinar o Regimento Geral do CAU/BR;</w:t>
      </w:r>
    </w:p>
    <w:p w14:paraId="336A40E5" w14:textId="77777777" w:rsidR="00635DD8" w:rsidRPr="00251DD1" w:rsidRDefault="00635DD8" w:rsidP="008F494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center" w:pos="4252"/>
          <w:tab w:val="left" w:pos="5355"/>
        </w:tabs>
        <w:spacing w:after="200" w:line="276" w:lineRule="auto"/>
        <w:jc w:val="both"/>
        <w:rPr>
          <w:rFonts w:asciiTheme="minorHAnsi" w:hAnsiTheme="minorHAnsi" w:cstheme="minorHAnsi"/>
        </w:rPr>
      </w:pPr>
      <w:r w:rsidRPr="00251DD1">
        <w:rPr>
          <w:rFonts w:asciiTheme="minorHAnsi" w:hAnsiTheme="minorHAnsi" w:cstheme="minorHAnsi"/>
        </w:rPr>
        <w:t>Considerando que, segundo o art. 2º da Resolução CAU/BR nº 143, de 2017, a apuração e a condução de processo de infração ao Código de Ética e Disciplina “</w:t>
      </w:r>
      <w:r w:rsidRPr="00251DD1">
        <w:rPr>
          <w:rFonts w:asciiTheme="minorHAnsi" w:hAnsiTheme="minorHAnsi" w:cstheme="minorHAnsi"/>
          <w:i/>
        </w:rPr>
        <w:t>obedecerá, dentre outros, aos princípios da legalidade, finalidade, motivação, razoabilidade, proporcionalidade, moralidade, ampla defesa, contraditório, segurança jurídica, segurança técnico-profissional, interesse público, eficiência, impulso oficial, celeridade e boa-fé</w:t>
      </w:r>
      <w:r w:rsidRPr="00251DD1">
        <w:rPr>
          <w:rFonts w:asciiTheme="minorHAnsi" w:hAnsiTheme="minorHAnsi" w:cstheme="minorHAnsi"/>
        </w:rPr>
        <w:t>”;</w:t>
      </w:r>
    </w:p>
    <w:p w14:paraId="0E48548E" w14:textId="77777777" w:rsidR="00635DD8" w:rsidRPr="00251DD1" w:rsidRDefault="00635DD8" w:rsidP="008F494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center" w:pos="4252"/>
          <w:tab w:val="left" w:pos="5355"/>
        </w:tabs>
        <w:spacing w:after="200" w:line="276" w:lineRule="auto"/>
        <w:jc w:val="both"/>
        <w:rPr>
          <w:rFonts w:asciiTheme="minorHAnsi" w:hAnsiTheme="minorHAnsi" w:cstheme="minorHAnsi"/>
        </w:rPr>
      </w:pPr>
      <w:r w:rsidRPr="00251DD1">
        <w:rPr>
          <w:rFonts w:asciiTheme="minorHAnsi" w:hAnsiTheme="minorHAnsi" w:cstheme="minorHAnsi"/>
        </w:rPr>
        <w:t>Considerando que o art. 5º da Resolução CAU/BR nº 143, de 23 de julho de 2017, dispõe que as Comissões de Ética e Disciplina dos CAU/UF “</w:t>
      </w:r>
      <w:r w:rsidRPr="00251DD1">
        <w:rPr>
          <w:rFonts w:asciiTheme="minorHAnsi" w:hAnsiTheme="minorHAnsi" w:cstheme="minorHAnsi"/>
          <w:i/>
        </w:rPr>
        <w:t>poderão atuar como instância conciliadora, preliminarmente ou no curso da instrução, com o objetivo de pacificar e resolver os conflitos geradores da denúncia por infração ético-disciplinar entre as partes envolvidas, conforme procedimento de conciliação a ser estabelecido por ato normativo de cada CAU/UF, respeitadas as disposições desta Resolução (art. 91)</w:t>
      </w:r>
      <w:r w:rsidRPr="00251DD1">
        <w:rPr>
          <w:rFonts w:asciiTheme="minorHAnsi" w:hAnsiTheme="minorHAnsi" w:cstheme="minorHAnsi"/>
        </w:rPr>
        <w:t>”;</w:t>
      </w:r>
    </w:p>
    <w:p w14:paraId="07E08A61" w14:textId="77777777" w:rsidR="00635DD8" w:rsidRPr="00251DD1" w:rsidRDefault="00635DD8" w:rsidP="008F494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center" w:pos="4252"/>
          <w:tab w:val="left" w:pos="5355"/>
        </w:tabs>
        <w:spacing w:after="200" w:line="276" w:lineRule="auto"/>
        <w:jc w:val="both"/>
        <w:rPr>
          <w:rFonts w:asciiTheme="minorHAnsi" w:hAnsiTheme="minorHAnsi" w:cstheme="minorHAnsi"/>
        </w:rPr>
      </w:pPr>
      <w:r w:rsidRPr="00251DD1">
        <w:rPr>
          <w:rFonts w:asciiTheme="minorHAnsi" w:hAnsiTheme="minorHAnsi" w:cstheme="minorHAnsi"/>
        </w:rPr>
        <w:t>Considerando que a função de disciplinar e de orientar do Conselho de Fiscalização deve estar a serviço da sociedade, visando à realização dos interesses coletivos e do bem comum;</w:t>
      </w:r>
    </w:p>
    <w:p w14:paraId="4C2966F5" w14:textId="77777777" w:rsidR="00635DD8" w:rsidRPr="00251DD1" w:rsidRDefault="00635DD8" w:rsidP="008F494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center" w:pos="4252"/>
          <w:tab w:val="left" w:pos="5355"/>
        </w:tabs>
        <w:spacing w:after="200" w:line="276" w:lineRule="auto"/>
        <w:jc w:val="both"/>
        <w:rPr>
          <w:rFonts w:asciiTheme="minorHAnsi" w:hAnsiTheme="minorHAnsi" w:cstheme="minorHAnsi"/>
        </w:rPr>
      </w:pPr>
      <w:r w:rsidRPr="00251DD1">
        <w:rPr>
          <w:rFonts w:asciiTheme="minorHAnsi" w:hAnsiTheme="minorHAnsi" w:cstheme="minorHAnsi"/>
        </w:rPr>
        <w:lastRenderedPageBreak/>
        <w:t>Considerando a necessidade de se consolidar uma política pública permanente de incentivo e aperfeiçoamento dos mecanismos consensuais de solução de litígios;</w:t>
      </w:r>
    </w:p>
    <w:p w14:paraId="4D078588" w14:textId="77777777" w:rsidR="00635DD8" w:rsidRPr="00AD721A" w:rsidRDefault="00635DD8" w:rsidP="008F494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center" w:pos="4252"/>
          <w:tab w:val="left" w:pos="5355"/>
        </w:tabs>
        <w:spacing w:after="200" w:line="276" w:lineRule="auto"/>
        <w:jc w:val="both"/>
        <w:rPr>
          <w:rFonts w:asciiTheme="minorHAnsi" w:hAnsiTheme="minorHAnsi" w:cstheme="minorHAnsi"/>
          <w:b/>
        </w:rPr>
      </w:pPr>
      <w:r w:rsidRPr="00AD721A">
        <w:rPr>
          <w:rFonts w:asciiTheme="minorHAnsi" w:hAnsiTheme="minorHAnsi" w:cstheme="minorHAnsi"/>
          <w:b/>
        </w:rPr>
        <w:t>RESOLVE:</w:t>
      </w:r>
    </w:p>
    <w:p w14:paraId="26B5AD90" w14:textId="5DF5905E" w:rsidR="00635DD8" w:rsidRPr="00AD721A" w:rsidRDefault="00635DD8" w:rsidP="008F494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jc w:val="center"/>
        <w:rPr>
          <w:rFonts w:asciiTheme="minorHAnsi" w:hAnsiTheme="minorHAnsi" w:cstheme="minorHAnsi"/>
          <w:b/>
        </w:rPr>
      </w:pPr>
      <w:r w:rsidRPr="00AD721A">
        <w:rPr>
          <w:rFonts w:asciiTheme="minorHAnsi" w:hAnsiTheme="minorHAnsi" w:cstheme="minorHAnsi"/>
          <w:b/>
        </w:rPr>
        <w:t>TÍTULO I</w:t>
      </w:r>
      <w:r w:rsidR="008F494A">
        <w:rPr>
          <w:rFonts w:asciiTheme="minorHAnsi" w:hAnsiTheme="minorHAnsi" w:cstheme="minorHAnsi"/>
          <w:b/>
        </w:rPr>
        <w:br/>
      </w:r>
      <w:r w:rsidRPr="00AD721A">
        <w:rPr>
          <w:rFonts w:asciiTheme="minorHAnsi" w:hAnsiTheme="minorHAnsi" w:cstheme="minorHAnsi"/>
          <w:b/>
        </w:rPr>
        <w:t>DAS DISPOSIÇÕES GERAIS</w:t>
      </w:r>
    </w:p>
    <w:p w14:paraId="32F94A89" w14:textId="6A44F972" w:rsidR="008F494A" w:rsidRDefault="00635DD8" w:rsidP="008F494A">
      <w:pPr>
        <w:pStyle w:val="PargrafodaLista"/>
        <w:numPr>
          <w:ilvl w:val="0"/>
          <w:numId w:val="41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contextualSpacing w:val="0"/>
        <w:jc w:val="both"/>
        <w:rPr>
          <w:rFonts w:asciiTheme="minorHAnsi" w:hAnsiTheme="minorHAnsi" w:cstheme="minorHAnsi"/>
        </w:rPr>
      </w:pPr>
      <w:r w:rsidRPr="00AD721A">
        <w:rPr>
          <w:rFonts w:asciiTheme="minorHAnsi" w:hAnsiTheme="minorHAnsi" w:cstheme="minorHAnsi"/>
        </w:rPr>
        <w:t xml:space="preserve">O Conselho de Arquitetura e Urbanismo do Rio Grande do Sul – CAU/RS regulamenta, por meio dessa Portaria Normativa, as regras pertinentes à realização de audiências de conciliação, no âmbito dos Processos Ético </w:t>
      </w:r>
      <w:r w:rsidRPr="009D5449">
        <w:rPr>
          <w:rFonts w:asciiTheme="minorHAnsi" w:hAnsiTheme="minorHAnsi" w:cstheme="minorHAnsi"/>
        </w:rPr>
        <w:t>Disciplinares, regidos pela Resolução CAU/BR nº 143, de 2017.</w:t>
      </w:r>
    </w:p>
    <w:p w14:paraId="732288D1" w14:textId="77777777" w:rsidR="008F494A" w:rsidRPr="008F494A" w:rsidRDefault="008F494A" w:rsidP="008F494A">
      <w:pPr>
        <w:pStyle w:val="PargrafodaLista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ind w:left="0"/>
        <w:contextualSpacing w:val="0"/>
        <w:jc w:val="both"/>
        <w:rPr>
          <w:rFonts w:asciiTheme="minorHAnsi" w:hAnsiTheme="minorHAnsi" w:cstheme="minorHAnsi"/>
        </w:rPr>
      </w:pPr>
    </w:p>
    <w:p w14:paraId="4F6C9054" w14:textId="783F944A" w:rsidR="00635DD8" w:rsidRPr="009D5449" w:rsidRDefault="00635DD8" w:rsidP="008F494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jc w:val="center"/>
        <w:rPr>
          <w:rFonts w:asciiTheme="minorHAnsi" w:hAnsiTheme="minorHAnsi" w:cstheme="minorHAnsi"/>
          <w:b/>
        </w:rPr>
      </w:pPr>
      <w:r w:rsidRPr="009D5449">
        <w:rPr>
          <w:rFonts w:asciiTheme="minorHAnsi" w:hAnsiTheme="minorHAnsi" w:cstheme="minorHAnsi"/>
          <w:b/>
        </w:rPr>
        <w:t>TÍTULO II</w:t>
      </w:r>
      <w:r w:rsidR="008F494A">
        <w:rPr>
          <w:rFonts w:asciiTheme="minorHAnsi" w:hAnsiTheme="minorHAnsi" w:cstheme="minorHAnsi"/>
          <w:b/>
        </w:rPr>
        <w:br/>
      </w:r>
      <w:r w:rsidRPr="009D5449">
        <w:rPr>
          <w:rFonts w:asciiTheme="minorHAnsi" w:hAnsiTheme="minorHAnsi" w:cstheme="minorHAnsi"/>
          <w:b/>
        </w:rPr>
        <w:t>DA CONCILIAÇÃO</w:t>
      </w:r>
    </w:p>
    <w:p w14:paraId="2C31D87B" w14:textId="4B9D95D9" w:rsidR="00635DD8" w:rsidRDefault="00635DD8" w:rsidP="008F494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jc w:val="center"/>
        <w:rPr>
          <w:rFonts w:asciiTheme="minorHAnsi" w:hAnsiTheme="minorHAnsi" w:cstheme="minorHAnsi"/>
          <w:b/>
        </w:rPr>
      </w:pPr>
      <w:r w:rsidRPr="009D5449">
        <w:rPr>
          <w:rFonts w:asciiTheme="minorHAnsi" w:hAnsiTheme="minorHAnsi" w:cstheme="minorHAnsi"/>
          <w:b/>
        </w:rPr>
        <w:t>CAPÍTULO I</w:t>
      </w:r>
      <w:r w:rsidR="008F494A">
        <w:rPr>
          <w:rFonts w:asciiTheme="minorHAnsi" w:hAnsiTheme="minorHAnsi" w:cstheme="minorHAnsi"/>
          <w:b/>
        </w:rPr>
        <w:br/>
      </w:r>
      <w:r w:rsidRPr="009D5449">
        <w:rPr>
          <w:rFonts w:asciiTheme="minorHAnsi" w:hAnsiTheme="minorHAnsi" w:cstheme="minorHAnsi"/>
          <w:b/>
        </w:rPr>
        <w:t>DA INSTÂNCIA CONCILIADORA</w:t>
      </w:r>
    </w:p>
    <w:p w14:paraId="4260FF7F" w14:textId="151A74A3" w:rsidR="00635DD8" w:rsidRPr="009D5449" w:rsidRDefault="00635DD8" w:rsidP="008F494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Seção I</w:t>
      </w:r>
      <w:r w:rsidR="008F494A">
        <w:rPr>
          <w:rFonts w:asciiTheme="minorHAnsi" w:hAnsiTheme="minorHAnsi" w:cstheme="minorHAnsi"/>
          <w:b/>
        </w:rPr>
        <w:br/>
      </w:r>
      <w:r>
        <w:rPr>
          <w:rFonts w:asciiTheme="minorHAnsi" w:hAnsiTheme="minorHAnsi" w:cstheme="minorHAnsi"/>
          <w:b/>
        </w:rPr>
        <w:t>Das regras gerais</w:t>
      </w:r>
    </w:p>
    <w:p w14:paraId="1E36904B" w14:textId="77777777" w:rsidR="00635DD8" w:rsidRPr="008173D6" w:rsidRDefault="00635DD8" w:rsidP="008F494A">
      <w:pPr>
        <w:pStyle w:val="PargrafodaLista"/>
        <w:numPr>
          <w:ilvl w:val="0"/>
          <w:numId w:val="41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contextualSpacing w:val="0"/>
        <w:jc w:val="both"/>
        <w:rPr>
          <w:rFonts w:asciiTheme="minorHAnsi" w:hAnsiTheme="minorHAnsi" w:cstheme="minorHAnsi"/>
        </w:rPr>
      </w:pPr>
      <w:r w:rsidRPr="009D5449">
        <w:rPr>
          <w:rFonts w:asciiTheme="minorHAnsi" w:hAnsiTheme="minorHAnsi" w:cstheme="minorHAnsi"/>
        </w:rPr>
        <w:t>Est</w:t>
      </w:r>
      <w:r>
        <w:rPr>
          <w:rFonts w:asciiTheme="minorHAnsi" w:hAnsiTheme="minorHAnsi" w:cstheme="minorHAnsi"/>
        </w:rPr>
        <w:t>e</w:t>
      </w:r>
      <w:r w:rsidRPr="009D544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Título </w:t>
      </w:r>
      <w:r w:rsidRPr="009D5449">
        <w:rPr>
          <w:rFonts w:asciiTheme="minorHAnsi" w:hAnsiTheme="minorHAnsi" w:cstheme="minorHAnsi"/>
        </w:rPr>
        <w:t xml:space="preserve">disciplinará a atuação da Comissão de Ética e Disciplina </w:t>
      </w:r>
      <w:r>
        <w:rPr>
          <w:rFonts w:asciiTheme="minorHAnsi" w:hAnsiTheme="minorHAnsi" w:cstheme="minorHAnsi"/>
        </w:rPr>
        <w:t>CED-CAU</w:t>
      </w:r>
      <w:r w:rsidRPr="009D5449">
        <w:rPr>
          <w:rFonts w:asciiTheme="minorHAnsi" w:hAnsiTheme="minorHAnsi" w:cstheme="minorHAnsi"/>
        </w:rPr>
        <w:t>/RS como instância conciliadora, regulamentando o disposto no art. 5º</w:t>
      </w:r>
      <w:r>
        <w:rPr>
          <w:rFonts w:asciiTheme="minorHAnsi" w:hAnsiTheme="minorHAnsi" w:cstheme="minorHAnsi"/>
        </w:rPr>
        <w:t>,</w:t>
      </w:r>
      <w:r w:rsidRPr="009D5449">
        <w:rPr>
          <w:rFonts w:asciiTheme="minorHAnsi" w:hAnsiTheme="minorHAnsi" w:cstheme="minorHAnsi"/>
        </w:rPr>
        <w:t xml:space="preserve"> da Resolução CAU/BR nº </w:t>
      </w:r>
      <w:r>
        <w:rPr>
          <w:rFonts w:asciiTheme="minorHAnsi" w:hAnsiTheme="minorHAnsi" w:cstheme="minorHAnsi"/>
        </w:rPr>
        <w:t>143</w:t>
      </w:r>
      <w:r w:rsidRPr="009D5449">
        <w:rPr>
          <w:rFonts w:asciiTheme="minorHAnsi" w:hAnsiTheme="minorHAnsi" w:cstheme="minorHAnsi"/>
        </w:rPr>
        <w:t>, de 201</w:t>
      </w:r>
      <w:r>
        <w:rPr>
          <w:rFonts w:asciiTheme="minorHAnsi" w:hAnsiTheme="minorHAnsi" w:cstheme="minorHAnsi"/>
        </w:rPr>
        <w:t>7</w:t>
      </w:r>
      <w:r w:rsidRPr="008173D6">
        <w:rPr>
          <w:rFonts w:asciiTheme="minorHAnsi" w:hAnsiTheme="minorHAnsi" w:cstheme="minorHAnsi"/>
        </w:rPr>
        <w:t>.</w:t>
      </w:r>
    </w:p>
    <w:p w14:paraId="72DDFCA6" w14:textId="67921BB3" w:rsidR="00635DD8" w:rsidRPr="008173D6" w:rsidRDefault="00635DD8" w:rsidP="008F494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Seção II</w:t>
      </w:r>
      <w:r w:rsidR="008F494A">
        <w:rPr>
          <w:rFonts w:asciiTheme="minorHAnsi" w:hAnsiTheme="minorHAnsi" w:cstheme="minorHAnsi"/>
          <w:b/>
        </w:rPr>
        <w:br/>
      </w:r>
      <w:r>
        <w:rPr>
          <w:rFonts w:asciiTheme="minorHAnsi" w:hAnsiTheme="minorHAnsi" w:cstheme="minorHAnsi"/>
          <w:b/>
        </w:rPr>
        <w:t>Do objetivo e dos princípios da conciliação</w:t>
      </w:r>
    </w:p>
    <w:p w14:paraId="4932731A" w14:textId="77777777" w:rsidR="00635DD8" w:rsidRDefault="00635DD8" w:rsidP="008F494A">
      <w:pPr>
        <w:pStyle w:val="PargrafodaLista"/>
        <w:numPr>
          <w:ilvl w:val="0"/>
          <w:numId w:val="41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contextualSpacing w:val="0"/>
        <w:jc w:val="both"/>
        <w:rPr>
          <w:rFonts w:asciiTheme="minorHAnsi" w:hAnsiTheme="minorHAnsi" w:cstheme="minorHAnsi"/>
        </w:rPr>
      </w:pPr>
      <w:r w:rsidRPr="008173D6">
        <w:rPr>
          <w:rFonts w:asciiTheme="minorHAnsi" w:hAnsiTheme="minorHAnsi" w:cstheme="minorHAnsi"/>
        </w:rPr>
        <w:t xml:space="preserve">A conciliação é um procedimento </w:t>
      </w:r>
      <w:r>
        <w:rPr>
          <w:rFonts w:asciiTheme="minorHAnsi" w:hAnsiTheme="minorHAnsi" w:cstheme="minorHAnsi"/>
        </w:rPr>
        <w:t>que tem por</w:t>
      </w:r>
      <w:r w:rsidRPr="008173D6">
        <w:rPr>
          <w:rFonts w:asciiTheme="minorHAnsi" w:hAnsiTheme="minorHAnsi" w:cstheme="minorHAnsi"/>
        </w:rPr>
        <w:t xml:space="preserve"> objetivo pacificar e resolver os conflitos geradores d</w:t>
      </w:r>
      <w:r>
        <w:rPr>
          <w:rFonts w:asciiTheme="minorHAnsi" w:hAnsiTheme="minorHAnsi" w:cstheme="minorHAnsi"/>
        </w:rPr>
        <w:t>e</w:t>
      </w:r>
      <w:r w:rsidRPr="008173D6">
        <w:rPr>
          <w:rFonts w:asciiTheme="minorHAnsi" w:hAnsiTheme="minorHAnsi" w:cstheme="minorHAnsi"/>
        </w:rPr>
        <w:t xml:space="preserve"> denúncia </w:t>
      </w:r>
      <w:r>
        <w:rPr>
          <w:rFonts w:asciiTheme="minorHAnsi" w:hAnsiTheme="minorHAnsi" w:cstheme="minorHAnsi"/>
        </w:rPr>
        <w:t>derivadas de</w:t>
      </w:r>
      <w:r w:rsidRPr="008173D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conduta potencialmente contrária aos preceitos ético-</w:t>
      </w:r>
      <w:r w:rsidRPr="008173D6">
        <w:rPr>
          <w:rFonts w:asciiTheme="minorHAnsi" w:hAnsiTheme="minorHAnsi" w:cstheme="minorHAnsi"/>
        </w:rPr>
        <w:t>disciplinares que regem a profissão de Arquitetura e Urbanismo</w:t>
      </w:r>
      <w:r>
        <w:rPr>
          <w:rFonts w:asciiTheme="minorHAnsi" w:hAnsiTheme="minorHAnsi" w:cstheme="minorHAnsi"/>
        </w:rPr>
        <w:t xml:space="preserve">, aproximando </w:t>
      </w:r>
      <w:r w:rsidRPr="008173D6">
        <w:rPr>
          <w:rFonts w:asciiTheme="minorHAnsi" w:hAnsiTheme="minorHAnsi" w:cstheme="minorHAnsi"/>
        </w:rPr>
        <w:t>as partes, por meio do auxílio de um terceiro (conciliador), para que estas, pelo diálogo, construam uma solução eficaz para o conflito.</w:t>
      </w:r>
    </w:p>
    <w:p w14:paraId="2F767D98" w14:textId="77777777" w:rsidR="00635DD8" w:rsidRPr="00C10D93" w:rsidRDefault="00635DD8" w:rsidP="008F494A">
      <w:pPr>
        <w:pStyle w:val="PargrafodaLista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line="276" w:lineRule="auto"/>
        <w:ind w:left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Parágrafo único.</w:t>
      </w:r>
      <w:r>
        <w:rPr>
          <w:rFonts w:asciiTheme="minorHAnsi" w:hAnsiTheme="minorHAnsi" w:cstheme="minorHAnsi"/>
        </w:rPr>
        <w:tab/>
      </w:r>
      <w:r w:rsidRPr="00CA2FFF">
        <w:rPr>
          <w:rFonts w:asciiTheme="minorHAnsi" w:hAnsiTheme="minorHAnsi" w:cstheme="minorHAnsi"/>
        </w:rPr>
        <w:t>A conciliação é procedimento preliminar e orientativo, não se eximindo o arquiteto e urbanista, em razão de acordo, de quaisquer responsabilizações previstas no Código de Ética e Disciplina</w:t>
      </w:r>
      <w:r>
        <w:rPr>
          <w:rFonts w:asciiTheme="minorHAnsi" w:hAnsiTheme="minorHAnsi" w:cstheme="minorHAnsi"/>
        </w:rPr>
        <w:t>, aprovado pela Resolução CAU/BR nº 052, de 06 de setembro de 2013</w:t>
      </w:r>
      <w:r w:rsidRPr="00CA2FFF">
        <w:rPr>
          <w:rFonts w:asciiTheme="minorHAnsi" w:hAnsiTheme="minorHAnsi" w:cstheme="minorHAnsi"/>
        </w:rPr>
        <w:t>.</w:t>
      </w:r>
    </w:p>
    <w:p w14:paraId="6FBCFF31" w14:textId="77777777" w:rsidR="00635DD8" w:rsidRDefault="00635DD8" w:rsidP="008F494A">
      <w:pPr>
        <w:pStyle w:val="PargrafodaLista"/>
        <w:numPr>
          <w:ilvl w:val="0"/>
          <w:numId w:val="41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contextualSpacing w:val="0"/>
        <w:jc w:val="both"/>
        <w:rPr>
          <w:rFonts w:asciiTheme="minorHAnsi" w:hAnsiTheme="minorHAnsi" w:cstheme="minorHAnsi"/>
        </w:rPr>
      </w:pPr>
      <w:r w:rsidRPr="008173D6">
        <w:rPr>
          <w:rFonts w:asciiTheme="minorHAnsi" w:hAnsiTheme="minorHAnsi" w:cstheme="minorHAnsi"/>
        </w:rPr>
        <w:t xml:space="preserve">A conciliação </w:t>
      </w:r>
      <w:r>
        <w:rPr>
          <w:rFonts w:asciiTheme="minorHAnsi" w:hAnsiTheme="minorHAnsi" w:cstheme="minorHAnsi"/>
        </w:rPr>
        <w:t>tem como princípios norteadores:</w:t>
      </w:r>
    </w:p>
    <w:p w14:paraId="4096E5E0" w14:textId="77777777" w:rsidR="00635DD8" w:rsidRDefault="00635DD8" w:rsidP="008F494A">
      <w:pPr>
        <w:pStyle w:val="PargrafodaLista"/>
        <w:numPr>
          <w:ilvl w:val="3"/>
          <w:numId w:val="41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contextualSpacing w:val="0"/>
        <w:jc w:val="both"/>
        <w:rPr>
          <w:rFonts w:asciiTheme="minorHAnsi" w:hAnsiTheme="minorHAnsi" w:cstheme="minorHAnsi"/>
        </w:rPr>
      </w:pPr>
      <w:r w:rsidRPr="008173D6">
        <w:rPr>
          <w:rFonts w:asciiTheme="minorHAnsi" w:hAnsiTheme="minorHAnsi" w:cstheme="minorHAnsi"/>
        </w:rPr>
        <w:t>a liberdade entre as partes</w:t>
      </w:r>
      <w:r>
        <w:rPr>
          <w:rFonts w:asciiTheme="minorHAnsi" w:hAnsiTheme="minorHAnsi" w:cstheme="minorHAnsi"/>
        </w:rPr>
        <w:t>;</w:t>
      </w:r>
    </w:p>
    <w:p w14:paraId="77FD8B94" w14:textId="77777777" w:rsidR="00635DD8" w:rsidRDefault="00635DD8" w:rsidP="008F494A">
      <w:pPr>
        <w:pStyle w:val="PargrafodaLista"/>
        <w:numPr>
          <w:ilvl w:val="3"/>
          <w:numId w:val="41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contextualSpacing w:val="0"/>
        <w:jc w:val="both"/>
        <w:rPr>
          <w:rFonts w:asciiTheme="minorHAnsi" w:hAnsiTheme="minorHAnsi" w:cstheme="minorHAnsi"/>
        </w:rPr>
      </w:pPr>
      <w:r w:rsidRPr="008173D6">
        <w:rPr>
          <w:rFonts w:asciiTheme="minorHAnsi" w:hAnsiTheme="minorHAnsi" w:cstheme="minorHAnsi"/>
        </w:rPr>
        <w:lastRenderedPageBreak/>
        <w:t>a não competitividade</w:t>
      </w:r>
      <w:r>
        <w:rPr>
          <w:rFonts w:asciiTheme="minorHAnsi" w:hAnsiTheme="minorHAnsi" w:cstheme="minorHAnsi"/>
        </w:rPr>
        <w:t>;</w:t>
      </w:r>
    </w:p>
    <w:p w14:paraId="54E0985D" w14:textId="77777777" w:rsidR="00635DD8" w:rsidRDefault="00635DD8" w:rsidP="008F494A">
      <w:pPr>
        <w:pStyle w:val="PargrafodaLista"/>
        <w:numPr>
          <w:ilvl w:val="3"/>
          <w:numId w:val="41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contextualSpacing w:val="0"/>
        <w:jc w:val="both"/>
        <w:rPr>
          <w:rFonts w:asciiTheme="minorHAnsi" w:hAnsiTheme="minorHAnsi" w:cstheme="minorHAnsi"/>
        </w:rPr>
      </w:pPr>
      <w:r w:rsidRPr="008173D6">
        <w:rPr>
          <w:rFonts w:asciiTheme="minorHAnsi" w:hAnsiTheme="minorHAnsi" w:cstheme="minorHAnsi"/>
        </w:rPr>
        <w:t>o poder de decisão das partes</w:t>
      </w:r>
      <w:r>
        <w:rPr>
          <w:rFonts w:asciiTheme="minorHAnsi" w:hAnsiTheme="minorHAnsi" w:cstheme="minorHAnsi"/>
        </w:rPr>
        <w:t>;</w:t>
      </w:r>
    </w:p>
    <w:p w14:paraId="4741FB55" w14:textId="77777777" w:rsidR="00635DD8" w:rsidRDefault="00635DD8" w:rsidP="008F494A">
      <w:pPr>
        <w:pStyle w:val="PargrafodaLista"/>
        <w:numPr>
          <w:ilvl w:val="3"/>
          <w:numId w:val="41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contextualSpacing w:val="0"/>
        <w:jc w:val="both"/>
        <w:rPr>
          <w:rFonts w:asciiTheme="minorHAnsi" w:hAnsiTheme="minorHAnsi" w:cstheme="minorHAnsi"/>
        </w:rPr>
      </w:pPr>
      <w:r w:rsidRPr="008173D6">
        <w:rPr>
          <w:rFonts w:asciiTheme="minorHAnsi" w:hAnsiTheme="minorHAnsi" w:cstheme="minorHAnsi"/>
        </w:rPr>
        <w:t>a participação de terceiro imparcial</w:t>
      </w:r>
      <w:r>
        <w:rPr>
          <w:rFonts w:asciiTheme="minorHAnsi" w:hAnsiTheme="minorHAnsi" w:cstheme="minorHAnsi"/>
        </w:rPr>
        <w:t>;</w:t>
      </w:r>
    </w:p>
    <w:p w14:paraId="4953B3A9" w14:textId="77777777" w:rsidR="00635DD8" w:rsidRDefault="00635DD8" w:rsidP="008F494A">
      <w:pPr>
        <w:pStyle w:val="PargrafodaLista"/>
        <w:numPr>
          <w:ilvl w:val="3"/>
          <w:numId w:val="41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contextualSpacing w:val="0"/>
        <w:jc w:val="both"/>
        <w:rPr>
          <w:rFonts w:asciiTheme="minorHAnsi" w:hAnsiTheme="minorHAnsi" w:cstheme="minorHAnsi"/>
        </w:rPr>
      </w:pPr>
      <w:r w:rsidRPr="008173D6">
        <w:rPr>
          <w:rFonts w:asciiTheme="minorHAnsi" w:hAnsiTheme="minorHAnsi" w:cstheme="minorHAnsi"/>
        </w:rPr>
        <w:t>a competência</w:t>
      </w:r>
      <w:r>
        <w:rPr>
          <w:rFonts w:asciiTheme="minorHAnsi" w:hAnsiTheme="minorHAnsi" w:cstheme="minorHAnsi"/>
        </w:rPr>
        <w:t>;</w:t>
      </w:r>
    </w:p>
    <w:p w14:paraId="2B2034AF" w14:textId="77777777" w:rsidR="00635DD8" w:rsidRDefault="00635DD8" w:rsidP="008F494A">
      <w:pPr>
        <w:pStyle w:val="PargrafodaLista"/>
        <w:numPr>
          <w:ilvl w:val="3"/>
          <w:numId w:val="41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contextualSpacing w:val="0"/>
        <w:jc w:val="both"/>
        <w:rPr>
          <w:rFonts w:asciiTheme="minorHAnsi" w:hAnsiTheme="minorHAnsi" w:cstheme="minorHAnsi"/>
        </w:rPr>
      </w:pPr>
      <w:r w:rsidRPr="008173D6">
        <w:rPr>
          <w:rFonts w:asciiTheme="minorHAnsi" w:hAnsiTheme="minorHAnsi" w:cstheme="minorHAnsi"/>
        </w:rPr>
        <w:t>a informalidade processual</w:t>
      </w:r>
      <w:r>
        <w:rPr>
          <w:rFonts w:asciiTheme="minorHAnsi" w:hAnsiTheme="minorHAnsi" w:cstheme="minorHAnsi"/>
        </w:rPr>
        <w:t>;</w:t>
      </w:r>
    </w:p>
    <w:p w14:paraId="0D91F2B2" w14:textId="77777777" w:rsidR="00635DD8" w:rsidRDefault="00635DD8" w:rsidP="008F494A">
      <w:pPr>
        <w:pStyle w:val="PargrafodaLista"/>
        <w:numPr>
          <w:ilvl w:val="3"/>
          <w:numId w:val="41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contextualSpacing w:val="0"/>
        <w:jc w:val="both"/>
        <w:rPr>
          <w:rFonts w:asciiTheme="minorHAnsi" w:hAnsiTheme="minorHAnsi" w:cstheme="minorHAnsi"/>
        </w:rPr>
      </w:pPr>
      <w:r w:rsidRPr="008173D6">
        <w:rPr>
          <w:rFonts w:asciiTheme="minorHAnsi" w:hAnsiTheme="minorHAnsi" w:cstheme="minorHAnsi"/>
        </w:rPr>
        <w:t>a confidencialidade no processo</w:t>
      </w:r>
      <w:r>
        <w:rPr>
          <w:rFonts w:asciiTheme="minorHAnsi" w:hAnsiTheme="minorHAnsi" w:cstheme="minorHAnsi"/>
        </w:rPr>
        <w:t>;</w:t>
      </w:r>
      <w:r w:rsidRPr="008173D6">
        <w:rPr>
          <w:rFonts w:asciiTheme="minorHAnsi" w:hAnsiTheme="minorHAnsi" w:cstheme="minorHAnsi"/>
        </w:rPr>
        <w:t xml:space="preserve"> e</w:t>
      </w:r>
    </w:p>
    <w:p w14:paraId="33185754" w14:textId="77777777" w:rsidR="00635DD8" w:rsidRPr="008173D6" w:rsidRDefault="00635DD8" w:rsidP="008F494A">
      <w:pPr>
        <w:pStyle w:val="PargrafodaLista"/>
        <w:numPr>
          <w:ilvl w:val="3"/>
          <w:numId w:val="41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contextualSpacing w:val="0"/>
        <w:jc w:val="both"/>
        <w:rPr>
          <w:rFonts w:asciiTheme="minorHAnsi" w:hAnsiTheme="minorHAnsi" w:cstheme="minorHAnsi"/>
        </w:rPr>
      </w:pPr>
      <w:r w:rsidRPr="008173D6">
        <w:rPr>
          <w:rFonts w:asciiTheme="minorHAnsi" w:hAnsiTheme="minorHAnsi" w:cstheme="minorHAnsi"/>
        </w:rPr>
        <w:t>a boa-fé.</w:t>
      </w:r>
    </w:p>
    <w:p w14:paraId="37E823E6" w14:textId="3585AE9E" w:rsidR="00635DD8" w:rsidRPr="008173D6" w:rsidRDefault="00635DD8" w:rsidP="008F494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jc w:val="center"/>
        <w:rPr>
          <w:rFonts w:asciiTheme="minorHAnsi" w:hAnsiTheme="minorHAnsi" w:cstheme="minorHAnsi"/>
          <w:b/>
        </w:rPr>
      </w:pPr>
      <w:r w:rsidRPr="008173D6">
        <w:rPr>
          <w:rFonts w:asciiTheme="minorHAnsi" w:hAnsiTheme="minorHAnsi" w:cstheme="minorHAnsi"/>
          <w:b/>
        </w:rPr>
        <w:t>Seção III</w:t>
      </w:r>
      <w:r w:rsidR="008F494A">
        <w:rPr>
          <w:rFonts w:asciiTheme="minorHAnsi" w:hAnsiTheme="minorHAnsi" w:cstheme="minorHAnsi"/>
          <w:b/>
        </w:rPr>
        <w:br/>
      </w:r>
      <w:r w:rsidRPr="008173D6">
        <w:rPr>
          <w:rFonts w:asciiTheme="minorHAnsi" w:hAnsiTheme="minorHAnsi" w:cstheme="minorHAnsi"/>
          <w:b/>
        </w:rPr>
        <w:t>D</w:t>
      </w:r>
      <w:r>
        <w:rPr>
          <w:rFonts w:asciiTheme="minorHAnsi" w:hAnsiTheme="minorHAnsi" w:cstheme="minorHAnsi"/>
          <w:b/>
        </w:rPr>
        <w:t>a figura do</w:t>
      </w:r>
      <w:r w:rsidRPr="008173D6">
        <w:rPr>
          <w:rFonts w:asciiTheme="minorHAnsi" w:hAnsiTheme="minorHAnsi" w:cstheme="minorHAnsi"/>
          <w:b/>
        </w:rPr>
        <w:t xml:space="preserve"> conciliador</w:t>
      </w:r>
    </w:p>
    <w:p w14:paraId="5FB5F1FD" w14:textId="77777777" w:rsidR="00635DD8" w:rsidRDefault="00635DD8" w:rsidP="008F494A">
      <w:pPr>
        <w:pStyle w:val="PargrafodaLista"/>
        <w:numPr>
          <w:ilvl w:val="0"/>
          <w:numId w:val="41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contextualSpacing w:val="0"/>
        <w:jc w:val="both"/>
        <w:rPr>
          <w:rFonts w:asciiTheme="minorHAnsi" w:hAnsiTheme="minorHAnsi" w:cstheme="minorHAnsi"/>
        </w:rPr>
      </w:pPr>
      <w:r w:rsidRPr="008173D6">
        <w:rPr>
          <w:rFonts w:asciiTheme="minorHAnsi" w:hAnsiTheme="minorHAnsi" w:cstheme="minorHAnsi"/>
        </w:rPr>
        <w:t>O conciliador é terceira pessoa</w:t>
      </w:r>
      <w:r>
        <w:rPr>
          <w:rFonts w:asciiTheme="minorHAnsi" w:hAnsiTheme="minorHAnsi" w:cstheme="minorHAnsi"/>
        </w:rPr>
        <w:t>, devidamente capacitada</w:t>
      </w:r>
      <w:r w:rsidRPr="0071135C">
        <w:rPr>
          <w:rFonts w:asciiTheme="minorHAnsi" w:hAnsiTheme="minorHAnsi" w:cstheme="minorHAnsi"/>
        </w:rPr>
        <w:t xml:space="preserve"> para atuar como conciliador</w:t>
      </w:r>
      <w:r>
        <w:rPr>
          <w:rFonts w:asciiTheme="minorHAnsi" w:hAnsiTheme="minorHAnsi" w:cstheme="minorHAnsi"/>
        </w:rPr>
        <w:t>,</w:t>
      </w:r>
      <w:r w:rsidRPr="008173D6">
        <w:rPr>
          <w:rFonts w:asciiTheme="minorHAnsi" w:hAnsiTheme="minorHAnsi" w:cstheme="minorHAnsi"/>
        </w:rPr>
        <w:t xml:space="preserve"> indicada pela CED-CAU/RS para conduzir as </w:t>
      </w:r>
      <w:r>
        <w:rPr>
          <w:rFonts w:asciiTheme="minorHAnsi" w:hAnsiTheme="minorHAnsi" w:cstheme="minorHAnsi"/>
        </w:rPr>
        <w:t xml:space="preserve">audiências </w:t>
      </w:r>
      <w:r w:rsidRPr="008173D6">
        <w:rPr>
          <w:rFonts w:asciiTheme="minorHAnsi" w:hAnsiTheme="minorHAnsi" w:cstheme="minorHAnsi"/>
        </w:rPr>
        <w:t xml:space="preserve">de conciliação, que atuará como facilitador da resolução do conflito, contribuindo para o restabelecimento ou </w:t>
      </w:r>
      <w:r>
        <w:rPr>
          <w:rFonts w:asciiTheme="minorHAnsi" w:hAnsiTheme="minorHAnsi" w:cstheme="minorHAnsi"/>
        </w:rPr>
        <w:t xml:space="preserve">a </w:t>
      </w:r>
      <w:r w:rsidRPr="008173D6">
        <w:rPr>
          <w:rFonts w:asciiTheme="minorHAnsi" w:hAnsiTheme="minorHAnsi" w:cstheme="minorHAnsi"/>
        </w:rPr>
        <w:t xml:space="preserve">manutenção da comunicação entre as partes e para </w:t>
      </w:r>
      <w:r>
        <w:rPr>
          <w:rFonts w:asciiTheme="minorHAnsi" w:hAnsiTheme="minorHAnsi" w:cstheme="minorHAnsi"/>
        </w:rPr>
        <w:t xml:space="preserve">a </w:t>
      </w:r>
      <w:r w:rsidRPr="008173D6">
        <w:rPr>
          <w:rFonts w:asciiTheme="minorHAnsi" w:hAnsiTheme="minorHAnsi" w:cstheme="minorHAnsi"/>
        </w:rPr>
        <w:t xml:space="preserve">construção da </w:t>
      </w:r>
      <w:r>
        <w:rPr>
          <w:rFonts w:asciiTheme="minorHAnsi" w:hAnsiTheme="minorHAnsi" w:cstheme="minorHAnsi"/>
        </w:rPr>
        <w:t xml:space="preserve">consensual de </w:t>
      </w:r>
      <w:r w:rsidRPr="008173D6">
        <w:rPr>
          <w:rFonts w:asciiTheme="minorHAnsi" w:hAnsiTheme="minorHAnsi" w:cstheme="minorHAnsi"/>
        </w:rPr>
        <w:t>solução da controvérsia.</w:t>
      </w:r>
    </w:p>
    <w:p w14:paraId="62116308" w14:textId="77777777" w:rsidR="00635DD8" w:rsidRDefault="00635DD8" w:rsidP="008F494A">
      <w:pPr>
        <w:pStyle w:val="PargrafodaLista"/>
        <w:numPr>
          <w:ilvl w:val="2"/>
          <w:numId w:val="41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contextualSpacing w:val="0"/>
        <w:jc w:val="both"/>
        <w:rPr>
          <w:rFonts w:asciiTheme="minorHAnsi" w:hAnsiTheme="minorHAnsi" w:cstheme="minorHAnsi"/>
        </w:rPr>
      </w:pPr>
      <w:r w:rsidRPr="005F67CF">
        <w:rPr>
          <w:rFonts w:asciiTheme="minorHAnsi" w:hAnsiTheme="minorHAnsi" w:cstheme="minorHAnsi"/>
        </w:rPr>
        <w:t>A função de conciliador recairá preferencialmente sobre os empregados encarregados da assessoria técnica e jurídica que compõem a equipe de Assessoria da CED-CAU/RS.</w:t>
      </w:r>
    </w:p>
    <w:p w14:paraId="501107DE" w14:textId="77777777" w:rsidR="00635DD8" w:rsidRPr="005F67CF" w:rsidRDefault="00635DD8" w:rsidP="008F494A">
      <w:pPr>
        <w:pStyle w:val="PargrafodaLista"/>
        <w:numPr>
          <w:ilvl w:val="2"/>
          <w:numId w:val="41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capacitação será realizada periodicamente pelos empregados advogados do CAU/RS que possuam treinamento específico sobre o tema ou por empresa externa especializada.</w:t>
      </w:r>
    </w:p>
    <w:p w14:paraId="3867A0F2" w14:textId="77777777" w:rsidR="00635DD8" w:rsidRDefault="00635DD8" w:rsidP="008F494A">
      <w:pPr>
        <w:pStyle w:val="PargrafodaLista"/>
        <w:numPr>
          <w:ilvl w:val="0"/>
          <w:numId w:val="41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Compete ao conciliador o levantamento d</w:t>
      </w:r>
      <w:r w:rsidRPr="008173D6">
        <w:rPr>
          <w:rFonts w:asciiTheme="minorHAnsi" w:hAnsiTheme="minorHAnsi" w:cstheme="minorHAnsi"/>
        </w:rPr>
        <w:t>as controvérsias existentes,</w:t>
      </w:r>
      <w:r>
        <w:rPr>
          <w:rFonts w:asciiTheme="minorHAnsi" w:hAnsiTheme="minorHAnsi" w:cstheme="minorHAnsi"/>
        </w:rPr>
        <w:t xml:space="preserve"> visando uma atuação que:</w:t>
      </w:r>
    </w:p>
    <w:p w14:paraId="7A9640D2" w14:textId="77777777" w:rsidR="00635DD8" w:rsidRDefault="00635DD8" w:rsidP="008F494A">
      <w:pPr>
        <w:pStyle w:val="PargrafodaLista"/>
        <w:numPr>
          <w:ilvl w:val="3"/>
          <w:numId w:val="41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Pr="008173D6">
        <w:rPr>
          <w:rFonts w:asciiTheme="minorHAnsi" w:hAnsiTheme="minorHAnsi" w:cstheme="minorHAnsi"/>
        </w:rPr>
        <w:t>acilit</w:t>
      </w:r>
      <w:r>
        <w:rPr>
          <w:rFonts w:asciiTheme="minorHAnsi" w:hAnsiTheme="minorHAnsi" w:cstheme="minorHAnsi"/>
        </w:rPr>
        <w:t xml:space="preserve">e </w:t>
      </w:r>
      <w:r w:rsidRPr="008173D6">
        <w:rPr>
          <w:rFonts w:asciiTheme="minorHAnsi" w:hAnsiTheme="minorHAnsi" w:cstheme="minorHAnsi"/>
        </w:rPr>
        <w:t>a comunicação</w:t>
      </w:r>
      <w:r>
        <w:rPr>
          <w:rFonts w:asciiTheme="minorHAnsi" w:hAnsiTheme="minorHAnsi" w:cstheme="minorHAnsi"/>
        </w:rPr>
        <w:t xml:space="preserve"> entre as partes;</w:t>
      </w:r>
    </w:p>
    <w:p w14:paraId="7141C17B" w14:textId="77777777" w:rsidR="00635DD8" w:rsidRPr="0071135C" w:rsidRDefault="00635DD8" w:rsidP="008F494A">
      <w:pPr>
        <w:pStyle w:val="PargrafodaLista"/>
        <w:numPr>
          <w:ilvl w:val="3"/>
          <w:numId w:val="41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contextualSpacing w:val="0"/>
        <w:jc w:val="both"/>
        <w:rPr>
          <w:rFonts w:asciiTheme="minorHAnsi" w:hAnsiTheme="minorHAnsi" w:cstheme="minorHAnsi"/>
        </w:rPr>
      </w:pPr>
      <w:r w:rsidRPr="008173D6">
        <w:rPr>
          <w:rFonts w:asciiTheme="minorHAnsi" w:hAnsiTheme="minorHAnsi" w:cstheme="minorHAnsi"/>
        </w:rPr>
        <w:t>demonstr</w:t>
      </w:r>
      <w:r>
        <w:rPr>
          <w:rFonts w:asciiTheme="minorHAnsi" w:hAnsiTheme="minorHAnsi" w:cstheme="minorHAnsi"/>
        </w:rPr>
        <w:t>e</w:t>
      </w:r>
      <w:r w:rsidRPr="008173D6">
        <w:rPr>
          <w:rFonts w:asciiTheme="minorHAnsi" w:hAnsiTheme="minorHAnsi" w:cstheme="minorHAnsi"/>
        </w:rPr>
        <w:t xml:space="preserve"> que o conflito não é algo negativo, mas que é natural</w:t>
      </w:r>
      <w:r>
        <w:rPr>
          <w:rFonts w:asciiTheme="minorHAnsi" w:hAnsiTheme="minorHAnsi" w:cstheme="minorHAnsi"/>
        </w:rPr>
        <w:t xml:space="preserve"> e, </w:t>
      </w:r>
      <w:r w:rsidRPr="0071135C">
        <w:rPr>
          <w:rFonts w:asciiTheme="minorHAnsi" w:hAnsiTheme="minorHAnsi" w:cstheme="minorHAnsi"/>
        </w:rPr>
        <w:t>em certa medida, positivo, uma vez</w:t>
      </w:r>
      <w:r>
        <w:rPr>
          <w:rFonts w:asciiTheme="minorHAnsi" w:hAnsiTheme="minorHAnsi" w:cstheme="minorHAnsi"/>
        </w:rPr>
        <w:t xml:space="preserve"> </w:t>
      </w:r>
      <w:r w:rsidRPr="0071135C">
        <w:rPr>
          <w:rFonts w:asciiTheme="minorHAnsi" w:hAnsiTheme="minorHAnsi" w:cstheme="minorHAnsi"/>
        </w:rPr>
        <w:t>que conduz as partes ao progresso; e</w:t>
      </w:r>
    </w:p>
    <w:p w14:paraId="02A87C01" w14:textId="77777777" w:rsidR="00635DD8" w:rsidRPr="0071135C" w:rsidRDefault="00635DD8" w:rsidP="008F494A">
      <w:pPr>
        <w:pStyle w:val="PargrafodaLista"/>
        <w:numPr>
          <w:ilvl w:val="3"/>
          <w:numId w:val="41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contextualSpacing w:val="0"/>
        <w:jc w:val="both"/>
        <w:rPr>
          <w:rFonts w:asciiTheme="minorHAnsi" w:hAnsiTheme="minorHAnsi" w:cstheme="minorHAnsi"/>
        </w:rPr>
      </w:pPr>
      <w:r w:rsidRPr="0071135C">
        <w:rPr>
          <w:rFonts w:asciiTheme="minorHAnsi" w:hAnsiTheme="minorHAnsi" w:cstheme="minorHAnsi"/>
        </w:rPr>
        <w:t>aprimore as relações interpessoais e sociais.</w:t>
      </w:r>
    </w:p>
    <w:p w14:paraId="56812828" w14:textId="6A3B7C93" w:rsidR="00635DD8" w:rsidRPr="0071135C" w:rsidRDefault="00635DD8" w:rsidP="008F494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jc w:val="center"/>
        <w:rPr>
          <w:rFonts w:asciiTheme="minorHAnsi" w:hAnsiTheme="minorHAnsi" w:cstheme="minorHAnsi"/>
          <w:b/>
        </w:rPr>
      </w:pPr>
      <w:r w:rsidRPr="0071135C">
        <w:rPr>
          <w:rFonts w:asciiTheme="minorHAnsi" w:hAnsiTheme="minorHAnsi" w:cstheme="minorHAnsi"/>
          <w:b/>
        </w:rPr>
        <w:t>Seção IV</w:t>
      </w:r>
      <w:r w:rsidR="008F494A">
        <w:rPr>
          <w:rFonts w:asciiTheme="minorHAnsi" w:hAnsiTheme="minorHAnsi" w:cstheme="minorHAnsi"/>
          <w:b/>
        </w:rPr>
        <w:br/>
      </w:r>
      <w:r w:rsidRPr="0071135C">
        <w:rPr>
          <w:rFonts w:asciiTheme="minorHAnsi" w:hAnsiTheme="minorHAnsi" w:cstheme="minorHAnsi"/>
          <w:b/>
        </w:rPr>
        <w:t xml:space="preserve">Do </w:t>
      </w:r>
      <w:r>
        <w:rPr>
          <w:rFonts w:asciiTheme="minorHAnsi" w:hAnsiTheme="minorHAnsi" w:cstheme="minorHAnsi"/>
          <w:b/>
        </w:rPr>
        <w:t>momento da realização de audiência de conciliação</w:t>
      </w:r>
    </w:p>
    <w:p w14:paraId="33EE64F1" w14:textId="77777777" w:rsidR="00635DD8" w:rsidRDefault="00635DD8" w:rsidP="008F494A">
      <w:pPr>
        <w:pStyle w:val="PargrafodaLista"/>
        <w:numPr>
          <w:ilvl w:val="0"/>
          <w:numId w:val="41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contextualSpacing w:val="0"/>
        <w:jc w:val="both"/>
        <w:rPr>
          <w:rFonts w:asciiTheme="minorHAnsi" w:hAnsiTheme="minorHAnsi" w:cstheme="minorHAnsi"/>
        </w:rPr>
      </w:pPr>
      <w:r w:rsidRPr="00565DB8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 xml:space="preserve">audiência de conciliação poderá ser realizada </w:t>
      </w:r>
      <w:r w:rsidRPr="00565DB8">
        <w:rPr>
          <w:rFonts w:asciiTheme="minorHAnsi" w:hAnsiTheme="minorHAnsi" w:cstheme="minorHAnsi"/>
        </w:rPr>
        <w:t xml:space="preserve">a qualquer tempo e grau de jurisdição, desde que a matéria seja </w:t>
      </w:r>
      <w:r>
        <w:rPr>
          <w:rFonts w:asciiTheme="minorHAnsi" w:hAnsiTheme="minorHAnsi" w:cstheme="minorHAnsi"/>
        </w:rPr>
        <w:t>conciliável, sendo que compete ao Conselheiro Relator, caso julgue possível e conveniente:</w:t>
      </w:r>
    </w:p>
    <w:p w14:paraId="5BA3464B" w14:textId="77777777" w:rsidR="00635DD8" w:rsidRDefault="00635DD8" w:rsidP="008F494A">
      <w:pPr>
        <w:pStyle w:val="PargrafodaLista"/>
        <w:numPr>
          <w:ilvl w:val="3"/>
          <w:numId w:val="41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contextualSpacing w:val="0"/>
        <w:jc w:val="both"/>
        <w:rPr>
          <w:rFonts w:asciiTheme="minorHAnsi" w:hAnsiTheme="minorHAnsi" w:cstheme="minorHAnsi"/>
        </w:rPr>
      </w:pPr>
      <w:r w:rsidRPr="00A1742A">
        <w:rPr>
          <w:rFonts w:asciiTheme="minorHAnsi" w:hAnsiTheme="minorHAnsi" w:cstheme="minorHAnsi"/>
        </w:rPr>
        <w:lastRenderedPageBreak/>
        <w:t>antes da decisão sobre sua admissibilidade</w:t>
      </w:r>
      <w:r>
        <w:rPr>
          <w:rFonts w:asciiTheme="minorHAnsi" w:hAnsiTheme="minorHAnsi" w:cstheme="minorHAnsi"/>
        </w:rPr>
        <w:t>,</w:t>
      </w:r>
      <w:r w:rsidRPr="00A1742A">
        <w:rPr>
          <w:rFonts w:asciiTheme="minorHAnsi" w:hAnsiTheme="minorHAnsi" w:cstheme="minorHAnsi"/>
        </w:rPr>
        <w:t xml:space="preserve"> propor a CED-CAU/RS a designação de audiência de conciliação</w:t>
      </w:r>
      <w:r>
        <w:rPr>
          <w:rFonts w:asciiTheme="minorHAnsi" w:hAnsiTheme="minorHAnsi" w:cstheme="minorHAnsi"/>
        </w:rPr>
        <w:t xml:space="preserve">, </w:t>
      </w:r>
      <w:r w:rsidRPr="00A1742A">
        <w:rPr>
          <w:rFonts w:asciiTheme="minorHAnsi" w:hAnsiTheme="minorHAnsi" w:cstheme="minorHAnsi"/>
        </w:rPr>
        <w:t>nos termos do art. 20, § 3º, da Resolução CAU/BR nº 143, de 2017</w:t>
      </w:r>
      <w:r>
        <w:rPr>
          <w:rFonts w:asciiTheme="minorHAnsi" w:hAnsiTheme="minorHAnsi" w:cstheme="minorHAnsi"/>
        </w:rPr>
        <w:t>; ou</w:t>
      </w:r>
    </w:p>
    <w:p w14:paraId="21CC95CC" w14:textId="77777777" w:rsidR="00635DD8" w:rsidRPr="00A1742A" w:rsidRDefault="00635DD8" w:rsidP="008F494A">
      <w:pPr>
        <w:pStyle w:val="PargrafodaLista"/>
        <w:numPr>
          <w:ilvl w:val="3"/>
          <w:numId w:val="41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após a instauração do processo, designar a realização de audiência de conciliação.</w:t>
      </w:r>
    </w:p>
    <w:p w14:paraId="266A86C4" w14:textId="7F678727" w:rsidR="00635DD8" w:rsidRPr="0071135C" w:rsidRDefault="00635DD8" w:rsidP="008F494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jc w:val="center"/>
        <w:rPr>
          <w:rFonts w:asciiTheme="minorHAnsi" w:hAnsiTheme="minorHAnsi" w:cstheme="minorHAnsi"/>
          <w:b/>
        </w:rPr>
      </w:pPr>
      <w:r w:rsidRPr="0071135C">
        <w:rPr>
          <w:rFonts w:asciiTheme="minorHAnsi" w:hAnsiTheme="minorHAnsi" w:cstheme="minorHAnsi"/>
          <w:b/>
        </w:rPr>
        <w:t>Seção V</w:t>
      </w:r>
      <w:r w:rsidR="008F494A">
        <w:rPr>
          <w:rFonts w:asciiTheme="minorHAnsi" w:hAnsiTheme="minorHAnsi" w:cstheme="minorHAnsi"/>
          <w:b/>
        </w:rPr>
        <w:br/>
      </w:r>
      <w:r w:rsidRPr="0071135C">
        <w:rPr>
          <w:rFonts w:asciiTheme="minorHAnsi" w:hAnsiTheme="minorHAnsi" w:cstheme="minorHAnsi"/>
          <w:b/>
        </w:rPr>
        <w:t xml:space="preserve">Do </w:t>
      </w:r>
      <w:r>
        <w:rPr>
          <w:rFonts w:asciiTheme="minorHAnsi" w:hAnsiTheme="minorHAnsi" w:cstheme="minorHAnsi"/>
          <w:b/>
        </w:rPr>
        <w:t>procedimento relativo à conciliação</w:t>
      </w:r>
    </w:p>
    <w:p w14:paraId="5FC0E23F" w14:textId="77777777" w:rsidR="00635DD8" w:rsidRDefault="00635DD8" w:rsidP="008F494A">
      <w:pPr>
        <w:pStyle w:val="PargrafodaLista"/>
        <w:numPr>
          <w:ilvl w:val="0"/>
          <w:numId w:val="41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Designada a realização de audiência de conciliação, a denúncia ou o processo serão remetidos à Assessoria da CED-CAU/RS, que após analisar os autos, procederá à intimação das partes acerca da data marcada para realização da audiência.</w:t>
      </w:r>
    </w:p>
    <w:p w14:paraId="05B46AF3" w14:textId="77777777" w:rsidR="00635DD8" w:rsidRDefault="00635DD8" w:rsidP="008F494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center" w:pos="4252"/>
          <w:tab w:val="left" w:pos="5355"/>
        </w:tabs>
        <w:spacing w:after="20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Parágrafo único.</w:t>
      </w:r>
      <w:r>
        <w:rPr>
          <w:rFonts w:asciiTheme="minorHAnsi" w:hAnsiTheme="minorHAnsi" w:cstheme="minorHAnsi"/>
        </w:rPr>
        <w:tab/>
        <w:t xml:space="preserve">A </w:t>
      </w:r>
      <w:r w:rsidRPr="009D5449">
        <w:rPr>
          <w:rFonts w:asciiTheme="minorHAnsi" w:hAnsiTheme="minorHAnsi" w:cstheme="minorHAnsi"/>
        </w:rPr>
        <w:t xml:space="preserve">audiência deverá ser realizada em até </w:t>
      </w:r>
      <w:r>
        <w:rPr>
          <w:rFonts w:asciiTheme="minorHAnsi" w:hAnsiTheme="minorHAnsi" w:cstheme="minorHAnsi"/>
        </w:rPr>
        <w:t>30</w:t>
      </w:r>
      <w:r w:rsidRPr="009D5449"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</w:rPr>
        <w:t>trinta</w:t>
      </w:r>
      <w:r w:rsidRPr="009D5449">
        <w:rPr>
          <w:rFonts w:asciiTheme="minorHAnsi" w:hAnsiTheme="minorHAnsi" w:cstheme="minorHAnsi"/>
        </w:rPr>
        <w:t xml:space="preserve">) dias e notificada com antecedência mínima de </w:t>
      </w:r>
      <w:r>
        <w:rPr>
          <w:rFonts w:asciiTheme="minorHAnsi" w:hAnsiTheme="minorHAnsi" w:cstheme="minorHAnsi"/>
        </w:rPr>
        <w:t>5</w:t>
      </w:r>
      <w:r w:rsidRPr="009D5449"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</w:rPr>
        <w:t>cinco</w:t>
      </w:r>
      <w:r w:rsidRPr="009D5449">
        <w:rPr>
          <w:rFonts w:asciiTheme="minorHAnsi" w:hAnsiTheme="minorHAnsi" w:cstheme="minorHAnsi"/>
        </w:rPr>
        <w:t xml:space="preserve">) dias, preferencialmente na sede do CAU/RS, cientificando-se às partes se outro for o local de realização, observando-se, de forma complementar, as regras estabelecidas pela Resolução CAU/BR nº </w:t>
      </w:r>
      <w:r>
        <w:rPr>
          <w:rFonts w:asciiTheme="minorHAnsi" w:hAnsiTheme="minorHAnsi" w:cstheme="minorHAnsi"/>
        </w:rPr>
        <w:t>143</w:t>
      </w:r>
      <w:r w:rsidRPr="009D5449">
        <w:rPr>
          <w:rFonts w:asciiTheme="minorHAnsi" w:hAnsiTheme="minorHAnsi" w:cstheme="minorHAnsi"/>
        </w:rPr>
        <w:t>, de 201</w:t>
      </w:r>
      <w:r>
        <w:rPr>
          <w:rFonts w:asciiTheme="minorHAnsi" w:hAnsiTheme="minorHAnsi" w:cstheme="minorHAnsi"/>
        </w:rPr>
        <w:t>7</w:t>
      </w:r>
      <w:r w:rsidRPr="009D5449">
        <w:rPr>
          <w:rFonts w:asciiTheme="minorHAnsi" w:hAnsiTheme="minorHAnsi" w:cstheme="minorHAnsi"/>
        </w:rPr>
        <w:t>, pela Lei nº 9.784, de 1999</w:t>
      </w:r>
      <w:r>
        <w:rPr>
          <w:rFonts w:asciiTheme="minorHAnsi" w:hAnsiTheme="minorHAnsi" w:cstheme="minorHAnsi"/>
        </w:rPr>
        <w:t>, e pelo Código de Processo Civil</w:t>
      </w:r>
      <w:r w:rsidRPr="009D5449">
        <w:rPr>
          <w:rFonts w:asciiTheme="minorHAnsi" w:hAnsiTheme="minorHAnsi" w:cstheme="minorHAnsi"/>
        </w:rPr>
        <w:t>.</w:t>
      </w:r>
    </w:p>
    <w:p w14:paraId="75779A81" w14:textId="47BE2F24" w:rsidR="00635DD8" w:rsidRPr="007171B9" w:rsidRDefault="007171B9" w:rsidP="00DE706A">
      <w:pPr>
        <w:pStyle w:val="PargrafodaLista"/>
        <w:numPr>
          <w:ilvl w:val="0"/>
          <w:numId w:val="41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contextualSpacing w:val="0"/>
        <w:jc w:val="both"/>
        <w:rPr>
          <w:rFonts w:asciiTheme="minorHAnsi" w:hAnsiTheme="minorHAnsi" w:cstheme="minorHAnsi"/>
        </w:rPr>
      </w:pPr>
      <w:r w:rsidRPr="007171B9">
        <w:rPr>
          <w:rFonts w:asciiTheme="minorHAnsi" w:hAnsiTheme="minorHAnsi" w:cstheme="minorHAnsi"/>
        </w:rPr>
        <w:t>A audiência de conciliação será realizada sob a presidência do conciliador, que será auxiliado pela assessoria operacional da Comissão de Ética e Disciplina, a qual será responsável por secretariar a audiência, e pelo empregado encarregado da assessoria jurídica da CED-CAU/RS, caso esse não esteja</w:t>
      </w:r>
      <w:r>
        <w:rPr>
          <w:rFonts w:asciiTheme="minorHAnsi" w:hAnsiTheme="minorHAnsi" w:cstheme="minorHAnsi"/>
        </w:rPr>
        <w:t xml:space="preserve"> </w:t>
      </w:r>
      <w:r w:rsidRPr="007171B9">
        <w:rPr>
          <w:rFonts w:asciiTheme="minorHAnsi" w:hAnsiTheme="minorHAnsi" w:cstheme="minorHAnsi"/>
        </w:rPr>
        <w:t>encarregado da função de conciliador.</w:t>
      </w:r>
      <w:r>
        <w:rPr>
          <w:rFonts w:asciiTheme="minorHAnsi" w:hAnsiTheme="minorHAnsi" w:cstheme="minorHAnsi"/>
        </w:rPr>
        <w:t xml:space="preserve"> </w:t>
      </w:r>
      <w:hyperlink r:id="rId11" w:history="1">
        <w:r w:rsidRPr="007171B9">
          <w:rPr>
            <w:rStyle w:val="Hyperlink"/>
            <w:rFonts w:asciiTheme="minorHAnsi" w:hAnsiTheme="minorHAnsi" w:cstheme="minorHAnsi"/>
          </w:rPr>
          <w:t>(Redação alterada pela Portaria Normativa Nº 011/2023)</w:t>
        </w:r>
      </w:hyperlink>
      <w:r>
        <w:rPr>
          <w:rFonts w:asciiTheme="minorHAnsi" w:hAnsiTheme="minorHAnsi" w:cstheme="minorHAnsi"/>
        </w:rPr>
        <w:t>;</w:t>
      </w:r>
    </w:p>
    <w:p w14:paraId="086F49D7" w14:textId="77777777" w:rsidR="00635DD8" w:rsidRPr="00CA2FFF" w:rsidRDefault="00635DD8" w:rsidP="008F494A">
      <w:pPr>
        <w:pStyle w:val="PargrafodaLista"/>
        <w:numPr>
          <w:ilvl w:val="1"/>
          <w:numId w:val="42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audiência será realizada, preferencialmente, de modo remoto e virtual, com o comparecimento </w:t>
      </w:r>
      <w:r w:rsidRPr="00CA2FFF">
        <w:rPr>
          <w:rFonts w:asciiTheme="minorHAnsi" w:hAnsiTheme="minorHAnsi" w:cstheme="minorHAnsi"/>
        </w:rPr>
        <w:t>pessoal</w:t>
      </w:r>
      <w:r>
        <w:rPr>
          <w:rFonts w:asciiTheme="minorHAnsi" w:hAnsiTheme="minorHAnsi" w:cstheme="minorHAnsi"/>
        </w:rPr>
        <w:t xml:space="preserve"> das partes</w:t>
      </w:r>
      <w:r w:rsidRPr="00CA2FFF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as quais poderão se fazer </w:t>
      </w:r>
      <w:r w:rsidRPr="00CA2FFF">
        <w:rPr>
          <w:rFonts w:asciiTheme="minorHAnsi" w:hAnsiTheme="minorHAnsi" w:cstheme="minorHAnsi"/>
        </w:rPr>
        <w:t>representar por preposto com poderes para transigir.</w:t>
      </w:r>
    </w:p>
    <w:p w14:paraId="30708410" w14:textId="77777777" w:rsidR="00635DD8" w:rsidRPr="009D5449" w:rsidRDefault="00635DD8" w:rsidP="008F494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center" w:pos="4252"/>
          <w:tab w:val="left" w:pos="5355"/>
        </w:tabs>
        <w:spacing w:after="200" w:line="276" w:lineRule="auto"/>
        <w:jc w:val="both"/>
        <w:rPr>
          <w:rFonts w:asciiTheme="minorHAnsi" w:hAnsiTheme="minorHAnsi" w:cstheme="minorHAnsi"/>
        </w:rPr>
      </w:pPr>
      <w:r w:rsidRPr="009D5449">
        <w:rPr>
          <w:rFonts w:asciiTheme="minorHAnsi" w:hAnsiTheme="minorHAnsi" w:cstheme="minorHAnsi"/>
        </w:rPr>
        <w:t>Parágrafo único.</w:t>
      </w:r>
      <w:r w:rsidRPr="009D5449">
        <w:rPr>
          <w:rFonts w:asciiTheme="minorHAnsi" w:hAnsiTheme="minorHAnsi" w:cstheme="minorHAnsi"/>
        </w:rPr>
        <w:tab/>
        <w:t xml:space="preserve">O não comparecimento das partes à audiência não obstará o prosseguimento da análise da denúncia </w:t>
      </w:r>
      <w:r>
        <w:rPr>
          <w:rFonts w:asciiTheme="minorHAnsi" w:hAnsiTheme="minorHAnsi" w:cstheme="minorHAnsi"/>
        </w:rPr>
        <w:t>ou da</w:t>
      </w:r>
      <w:r w:rsidRPr="009D5449">
        <w:rPr>
          <w:rFonts w:asciiTheme="minorHAnsi" w:hAnsiTheme="minorHAnsi" w:cstheme="minorHAnsi"/>
        </w:rPr>
        <w:t xml:space="preserve"> inst</w:t>
      </w:r>
      <w:r>
        <w:rPr>
          <w:rFonts w:asciiTheme="minorHAnsi" w:hAnsiTheme="minorHAnsi" w:cstheme="minorHAnsi"/>
        </w:rPr>
        <w:t xml:space="preserve">rução </w:t>
      </w:r>
      <w:r w:rsidRPr="009D5449">
        <w:rPr>
          <w:rFonts w:asciiTheme="minorHAnsi" w:hAnsiTheme="minorHAnsi" w:cstheme="minorHAnsi"/>
        </w:rPr>
        <w:t>do processo ético-disciplinar.</w:t>
      </w:r>
    </w:p>
    <w:p w14:paraId="6787342D" w14:textId="77777777" w:rsidR="00635DD8" w:rsidRPr="00CA2FFF" w:rsidRDefault="00635DD8" w:rsidP="008F494A">
      <w:pPr>
        <w:pStyle w:val="PargrafodaLista"/>
        <w:numPr>
          <w:ilvl w:val="1"/>
          <w:numId w:val="42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contextualSpacing w:val="0"/>
        <w:jc w:val="both"/>
        <w:rPr>
          <w:rFonts w:asciiTheme="minorHAnsi" w:hAnsiTheme="minorHAnsi" w:cstheme="minorHAnsi"/>
        </w:rPr>
      </w:pPr>
      <w:r w:rsidRPr="00CA2FFF">
        <w:rPr>
          <w:rFonts w:asciiTheme="minorHAnsi" w:hAnsiTheme="minorHAnsi" w:cstheme="minorHAnsi"/>
        </w:rPr>
        <w:t xml:space="preserve">Aberta a </w:t>
      </w:r>
      <w:r>
        <w:rPr>
          <w:rFonts w:asciiTheme="minorHAnsi" w:hAnsiTheme="minorHAnsi" w:cstheme="minorHAnsi"/>
        </w:rPr>
        <w:t xml:space="preserve">audiência, caberá ao </w:t>
      </w:r>
      <w:r w:rsidRPr="00CA2FFF">
        <w:rPr>
          <w:rFonts w:asciiTheme="minorHAnsi" w:hAnsiTheme="minorHAnsi" w:cstheme="minorHAnsi"/>
        </w:rPr>
        <w:t xml:space="preserve">conciliador </w:t>
      </w:r>
      <w:r>
        <w:rPr>
          <w:rFonts w:asciiTheme="minorHAnsi" w:hAnsiTheme="minorHAnsi" w:cstheme="minorHAnsi"/>
        </w:rPr>
        <w:t>orientar à</w:t>
      </w:r>
      <w:r w:rsidRPr="00CA2FFF">
        <w:rPr>
          <w:rFonts w:asciiTheme="minorHAnsi" w:hAnsiTheme="minorHAnsi" w:cstheme="minorHAnsi"/>
        </w:rPr>
        <w:t xml:space="preserve">s partes sobre as vantagens da transação, mostrando-lhes </w:t>
      </w:r>
      <w:r>
        <w:rPr>
          <w:rFonts w:asciiTheme="minorHAnsi" w:hAnsiTheme="minorHAnsi" w:cstheme="minorHAnsi"/>
        </w:rPr>
        <w:t xml:space="preserve">os possíveis efeitos, </w:t>
      </w:r>
      <w:r w:rsidRPr="00CA2FFF">
        <w:rPr>
          <w:rFonts w:asciiTheme="minorHAnsi" w:hAnsiTheme="minorHAnsi" w:cstheme="minorHAnsi"/>
        </w:rPr>
        <w:t xml:space="preserve">riscos e </w:t>
      </w:r>
      <w:r>
        <w:rPr>
          <w:rFonts w:asciiTheme="minorHAnsi" w:hAnsiTheme="minorHAnsi" w:cstheme="minorHAnsi"/>
        </w:rPr>
        <w:t>consequências da denúncia ou do processo ético-disciplinar</w:t>
      </w:r>
      <w:r w:rsidRPr="00CA2FFF">
        <w:rPr>
          <w:rFonts w:asciiTheme="minorHAnsi" w:hAnsiTheme="minorHAnsi" w:cstheme="minorHAnsi"/>
        </w:rPr>
        <w:t>.</w:t>
      </w:r>
    </w:p>
    <w:p w14:paraId="48E97E6F" w14:textId="77777777" w:rsidR="00635DD8" w:rsidRDefault="00635DD8" w:rsidP="008F494A">
      <w:pPr>
        <w:pStyle w:val="PargrafodaLista"/>
        <w:numPr>
          <w:ilvl w:val="1"/>
          <w:numId w:val="42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Realizada a audiência, as conclusões e os encaminhamentos definidos serão reduzidos </w:t>
      </w:r>
      <w:r w:rsidRPr="00CA2FFF">
        <w:rPr>
          <w:rFonts w:asciiTheme="minorHAnsi" w:hAnsiTheme="minorHAnsi" w:cstheme="minorHAnsi"/>
        </w:rPr>
        <w:t>a termo</w:t>
      </w:r>
      <w:r>
        <w:rPr>
          <w:rFonts w:asciiTheme="minorHAnsi" w:hAnsiTheme="minorHAnsi" w:cstheme="minorHAnsi"/>
        </w:rPr>
        <w:t>, sendo vedada a inclusão de questões ou pontos que possam afetar uma análise do mérito.</w:t>
      </w:r>
    </w:p>
    <w:p w14:paraId="40A44B3B" w14:textId="77777777" w:rsidR="00635DD8" w:rsidRPr="00C97034" w:rsidRDefault="00635DD8" w:rsidP="008F494A">
      <w:pPr>
        <w:pStyle w:val="PargrafodaLista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line="276" w:lineRule="auto"/>
        <w:ind w:left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Parágrafo único.</w:t>
      </w:r>
      <w:r>
        <w:rPr>
          <w:rFonts w:asciiTheme="minorHAnsi" w:hAnsiTheme="minorHAnsi" w:cstheme="minorHAnsi"/>
        </w:rPr>
        <w:tab/>
        <w:t>Encerrada a audiência, o termo da audiência se</w:t>
      </w:r>
      <w:r w:rsidRPr="00C97034">
        <w:rPr>
          <w:rFonts w:asciiTheme="minorHAnsi" w:hAnsiTheme="minorHAnsi" w:cstheme="minorHAnsi"/>
        </w:rPr>
        <w:t>rá</w:t>
      </w:r>
      <w:r>
        <w:rPr>
          <w:rFonts w:asciiTheme="minorHAnsi" w:hAnsiTheme="minorHAnsi" w:cstheme="minorHAnsi"/>
        </w:rPr>
        <w:t xml:space="preserve"> juntado à denúncia ou ao processo ético-disciplinar, o qual será </w:t>
      </w:r>
      <w:r w:rsidRPr="00C97034">
        <w:rPr>
          <w:rFonts w:asciiTheme="minorHAnsi" w:hAnsiTheme="minorHAnsi" w:cstheme="minorHAnsi"/>
        </w:rPr>
        <w:t>encaminhad</w:t>
      </w:r>
      <w:r>
        <w:rPr>
          <w:rFonts w:asciiTheme="minorHAnsi" w:hAnsiTheme="minorHAnsi" w:cstheme="minorHAnsi"/>
        </w:rPr>
        <w:t>o</w:t>
      </w:r>
      <w:r w:rsidRPr="00C9703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ao Conselheiro Relator da </w:t>
      </w:r>
      <w:r w:rsidRPr="00C97034">
        <w:rPr>
          <w:rFonts w:asciiTheme="minorHAnsi" w:hAnsiTheme="minorHAnsi" w:cstheme="minorHAnsi"/>
        </w:rPr>
        <w:t>CED-CAU/RS.</w:t>
      </w:r>
    </w:p>
    <w:p w14:paraId="2A438E9F" w14:textId="6B81D612" w:rsidR="00635DD8" w:rsidRPr="0071135C" w:rsidRDefault="00635DD8" w:rsidP="008F494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jc w:val="center"/>
        <w:rPr>
          <w:rFonts w:asciiTheme="minorHAnsi" w:hAnsiTheme="minorHAnsi" w:cstheme="minorHAnsi"/>
          <w:b/>
        </w:rPr>
      </w:pPr>
      <w:r w:rsidRPr="0071135C">
        <w:rPr>
          <w:rFonts w:asciiTheme="minorHAnsi" w:hAnsiTheme="minorHAnsi" w:cstheme="minorHAnsi"/>
          <w:b/>
        </w:rPr>
        <w:t>Seção V</w:t>
      </w:r>
      <w:r>
        <w:rPr>
          <w:rFonts w:asciiTheme="minorHAnsi" w:hAnsiTheme="minorHAnsi" w:cstheme="minorHAnsi"/>
          <w:b/>
        </w:rPr>
        <w:t>I</w:t>
      </w:r>
      <w:r w:rsidR="008F494A">
        <w:rPr>
          <w:rFonts w:asciiTheme="minorHAnsi" w:hAnsiTheme="minorHAnsi" w:cstheme="minorHAnsi"/>
          <w:b/>
        </w:rPr>
        <w:br/>
      </w:r>
      <w:r w:rsidRPr="0071135C">
        <w:rPr>
          <w:rFonts w:asciiTheme="minorHAnsi" w:hAnsiTheme="minorHAnsi" w:cstheme="minorHAnsi"/>
          <w:b/>
        </w:rPr>
        <w:t>D</w:t>
      </w:r>
      <w:r>
        <w:rPr>
          <w:rFonts w:asciiTheme="minorHAnsi" w:hAnsiTheme="minorHAnsi" w:cstheme="minorHAnsi"/>
          <w:b/>
        </w:rPr>
        <w:t>os efeitos da conciliação</w:t>
      </w:r>
    </w:p>
    <w:p w14:paraId="7CC33F1A" w14:textId="77777777" w:rsidR="00635DD8" w:rsidRDefault="00635DD8" w:rsidP="008F494A">
      <w:pPr>
        <w:pStyle w:val="PargrafodaLista"/>
        <w:numPr>
          <w:ilvl w:val="1"/>
          <w:numId w:val="42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Realizado o acordo, a conciliação poderá acarretar:</w:t>
      </w:r>
    </w:p>
    <w:p w14:paraId="6958C460" w14:textId="77777777" w:rsidR="00635DD8" w:rsidRDefault="00635DD8" w:rsidP="008F494A">
      <w:pPr>
        <w:pStyle w:val="PargrafodaLista"/>
        <w:numPr>
          <w:ilvl w:val="3"/>
          <w:numId w:val="42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contextualSpacing w:val="0"/>
        <w:jc w:val="both"/>
        <w:rPr>
          <w:rFonts w:asciiTheme="minorHAnsi" w:hAnsiTheme="minorHAnsi" w:cstheme="minorHAnsi"/>
        </w:rPr>
      </w:pPr>
      <w:r w:rsidRPr="00C10D93">
        <w:rPr>
          <w:rFonts w:asciiTheme="minorHAnsi" w:hAnsiTheme="minorHAnsi" w:cstheme="minorHAnsi"/>
        </w:rPr>
        <w:t>a retirada da denúncia e a sua consequente extinção, caso em que as partes expressamente declaram sua renúncia ao direito de recorrer;</w:t>
      </w:r>
    </w:p>
    <w:p w14:paraId="0D728180" w14:textId="77777777" w:rsidR="00635DD8" w:rsidRDefault="00635DD8" w:rsidP="008F494A">
      <w:pPr>
        <w:pStyle w:val="PargrafodaLista"/>
        <w:numPr>
          <w:ilvl w:val="3"/>
          <w:numId w:val="42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contextualSpacing w:val="0"/>
        <w:jc w:val="both"/>
        <w:rPr>
          <w:rFonts w:asciiTheme="minorHAnsi" w:hAnsiTheme="minorHAnsi" w:cstheme="minorHAnsi"/>
        </w:rPr>
      </w:pPr>
      <w:r w:rsidRPr="00C10D93">
        <w:rPr>
          <w:rFonts w:asciiTheme="minorHAnsi" w:hAnsiTheme="minorHAnsi" w:cstheme="minorHAnsi"/>
        </w:rPr>
        <w:t>a exclusão da figura do denunciante do polo ativo do processo, o qual poderá ainda ser intimado como informante para prestar esclarecimentos e juntar outros documentos, devidamente especificados pelo Conselheiro R</w:t>
      </w:r>
      <w:r>
        <w:rPr>
          <w:rFonts w:asciiTheme="minorHAnsi" w:hAnsiTheme="minorHAnsi" w:cstheme="minorHAnsi"/>
        </w:rPr>
        <w:t>elator;</w:t>
      </w:r>
    </w:p>
    <w:p w14:paraId="7CDED12E" w14:textId="77777777" w:rsidR="00635DD8" w:rsidRDefault="00635DD8" w:rsidP="008F494A">
      <w:pPr>
        <w:pStyle w:val="PargrafodaLista"/>
        <w:numPr>
          <w:ilvl w:val="3"/>
          <w:numId w:val="42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contextualSpacing w:val="0"/>
        <w:jc w:val="both"/>
        <w:rPr>
          <w:rFonts w:asciiTheme="minorHAnsi" w:hAnsiTheme="minorHAnsi" w:cstheme="minorHAnsi"/>
        </w:rPr>
      </w:pPr>
      <w:r w:rsidRPr="00C10D93">
        <w:rPr>
          <w:rFonts w:asciiTheme="minorHAnsi" w:hAnsiTheme="minorHAnsi" w:cstheme="minorHAnsi"/>
        </w:rPr>
        <w:t>a suspensão do processo e do prazo prescricional, até que se cumpram os termos definidos no acordo</w:t>
      </w:r>
      <w:r>
        <w:rPr>
          <w:rFonts w:asciiTheme="minorHAnsi" w:hAnsiTheme="minorHAnsi" w:cstheme="minorHAnsi"/>
        </w:rPr>
        <w:t>.</w:t>
      </w:r>
    </w:p>
    <w:p w14:paraId="0B0BCF12" w14:textId="77777777" w:rsidR="00635DD8" w:rsidRDefault="00635DD8" w:rsidP="008F494A">
      <w:pPr>
        <w:pStyle w:val="PargrafodaLista"/>
        <w:numPr>
          <w:ilvl w:val="2"/>
          <w:numId w:val="43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eventual obtenção de transação em relação a pontos conciliáveis não impede o prosseguimento da denúncia ou do processo em relação às condutas de natureza inconciliável.</w:t>
      </w:r>
    </w:p>
    <w:p w14:paraId="5F1394AB" w14:textId="77777777" w:rsidR="00635DD8" w:rsidRDefault="00635DD8" w:rsidP="008F494A">
      <w:pPr>
        <w:pStyle w:val="PargrafodaLista"/>
        <w:numPr>
          <w:ilvl w:val="2"/>
          <w:numId w:val="43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contextualSpacing w:val="0"/>
        <w:jc w:val="both"/>
        <w:rPr>
          <w:rFonts w:asciiTheme="minorHAnsi" w:hAnsiTheme="minorHAnsi" w:cstheme="minorHAnsi"/>
        </w:rPr>
      </w:pPr>
      <w:r w:rsidRPr="00C10D93">
        <w:rPr>
          <w:rFonts w:asciiTheme="minorHAnsi" w:hAnsiTheme="minorHAnsi" w:cstheme="minorHAnsi"/>
        </w:rPr>
        <w:t xml:space="preserve">A conciliação obtida no curso do processo ético-disciplinar não acarretará a sua extinção e não inviabilizará a eventual aplicação de sanção ético-disciplinar, </w:t>
      </w:r>
      <w:r>
        <w:rPr>
          <w:rFonts w:asciiTheme="minorHAnsi" w:hAnsiTheme="minorHAnsi" w:cstheme="minorHAnsi"/>
        </w:rPr>
        <w:t xml:space="preserve">mas </w:t>
      </w:r>
      <w:r w:rsidRPr="00C10D93">
        <w:rPr>
          <w:rFonts w:asciiTheme="minorHAnsi" w:hAnsiTheme="minorHAnsi" w:cstheme="minorHAnsi"/>
        </w:rPr>
        <w:t>pode</w:t>
      </w:r>
      <w:r>
        <w:rPr>
          <w:rFonts w:asciiTheme="minorHAnsi" w:hAnsiTheme="minorHAnsi" w:cstheme="minorHAnsi"/>
        </w:rPr>
        <w:t>rá</w:t>
      </w:r>
      <w:r w:rsidRPr="00C10D93">
        <w:rPr>
          <w:rFonts w:asciiTheme="minorHAnsi" w:hAnsiTheme="minorHAnsi" w:cstheme="minorHAnsi"/>
        </w:rPr>
        <w:t xml:space="preserve"> servir como circunstância atenuante</w:t>
      </w:r>
      <w:r>
        <w:rPr>
          <w:rFonts w:asciiTheme="minorHAnsi" w:hAnsiTheme="minorHAnsi" w:cstheme="minorHAnsi"/>
        </w:rPr>
        <w:t>, conforme as circunstâncias verificadas no caso concreto</w:t>
      </w:r>
      <w:r w:rsidRPr="00C10D93">
        <w:rPr>
          <w:rFonts w:asciiTheme="minorHAnsi" w:hAnsiTheme="minorHAnsi" w:cstheme="minorHAnsi"/>
        </w:rPr>
        <w:t>.</w:t>
      </w:r>
    </w:p>
    <w:p w14:paraId="0D3B47A1" w14:textId="77777777" w:rsidR="00635DD8" w:rsidRPr="008757A7" w:rsidRDefault="00635DD8" w:rsidP="008F494A">
      <w:pPr>
        <w:pStyle w:val="PargrafodaLista"/>
        <w:numPr>
          <w:ilvl w:val="1"/>
          <w:numId w:val="42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Caso não obtida a transação, dar-se-á </w:t>
      </w:r>
      <w:r w:rsidRPr="008757A7">
        <w:rPr>
          <w:rFonts w:asciiTheme="minorHAnsi" w:hAnsiTheme="minorHAnsi" w:cstheme="minorHAnsi"/>
        </w:rPr>
        <w:t xml:space="preserve">prosseguimento </w:t>
      </w:r>
      <w:r>
        <w:rPr>
          <w:rFonts w:asciiTheme="minorHAnsi" w:hAnsiTheme="minorHAnsi" w:cstheme="minorHAnsi"/>
        </w:rPr>
        <w:t>à</w:t>
      </w:r>
      <w:r w:rsidRPr="008757A7">
        <w:rPr>
          <w:rFonts w:asciiTheme="minorHAnsi" w:hAnsiTheme="minorHAnsi" w:cstheme="minorHAnsi"/>
        </w:rPr>
        <w:t xml:space="preserve"> denúncia </w:t>
      </w:r>
      <w:r>
        <w:rPr>
          <w:rFonts w:asciiTheme="minorHAnsi" w:hAnsiTheme="minorHAnsi" w:cstheme="minorHAnsi"/>
        </w:rPr>
        <w:t xml:space="preserve">ou ao processo ético-disciplinar a partir do </w:t>
      </w:r>
      <w:r w:rsidRPr="008757A7">
        <w:rPr>
          <w:rFonts w:asciiTheme="minorHAnsi" w:hAnsiTheme="minorHAnsi" w:cstheme="minorHAnsi"/>
        </w:rPr>
        <w:t>ponto imediatamente anterior ao dos atos de conciliação, voltando a correr o prazo prescricional da pretensão punitiva pelo restante.</w:t>
      </w:r>
    </w:p>
    <w:p w14:paraId="101C2CEC" w14:textId="2D3E93FD" w:rsidR="00635DD8" w:rsidRPr="0071135C" w:rsidRDefault="00635DD8" w:rsidP="008F494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jc w:val="center"/>
        <w:rPr>
          <w:rFonts w:asciiTheme="minorHAnsi" w:hAnsiTheme="minorHAnsi" w:cstheme="minorHAnsi"/>
          <w:b/>
        </w:rPr>
      </w:pPr>
      <w:r w:rsidRPr="0071135C">
        <w:rPr>
          <w:rFonts w:asciiTheme="minorHAnsi" w:hAnsiTheme="minorHAnsi" w:cstheme="minorHAnsi"/>
          <w:b/>
        </w:rPr>
        <w:t>Seção V</w:t>
      </w:r>
      <w:r>
        <w:rPr>
          <w:rFonts w:asciiTheme="minorHAnsi" w:hAnsiTheme="minorHAnsi" w:cstheme="minorHAnsi"/>
          <w:b/>
        </w:rPr>
        <w:t>II</w:t>
      </w:r>
      <w:r w:rsidR="008F494A">
        <w:rPr>
          <w:rFonts w:asciiTheme="minorHAnsi" w:hAnsiTheme="minorHAnsi" w:cstheme="minorHAnsi"/>
          <w:b/>
        </w:rPr>
        <w:br/>
      </w:r>
      <w:r w:rsidRPr="0071135C">
        <w:rPr>
          <w:rFonts w:asciiTheme="minorHAnsi" w:hAnsiTheme="minorHAnsi" w:cstheme="minorHAnsi"/>
          <w:b/>
        </w:rPr>
        <w:t>D</w:t>
      </w:r>
      <w:r>
        <w:rPr>
          <w:rFonts w:asciiTheme="minorHAnsi" w:hAnsiTheme="minorHAnsi" w:cstheme="minorHAnsi"/>
          <w:b/>
        </w:rPr>
        <w:t>o descumprimento do acordo obtido na audiência de conciliação</w:t>
      </w:r>
    </w:p>
    <w:p w14:paraId="23F40B90" w14:textId="77777777" w:rsidR="00635DD8" w:rsidRDefault="00635DD8" w:rsidP="008F494A">
      <w:pPr>
        <w:pStyle w:val="PargrafodaLista"/>
        <w:numPr>
          <w:ilvl w:val="1"/>
          <w:numId w:val="42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contextualSpacing w:val="0"/>
        <w:jc w:val="both"/>
        <w:rPr>
          <w:rFonts w:asciiTheme="minorHAnsi" w:hAnsiTheme="minorHAnsi" w:cstheme="minorHAnsi"/>
        </w:rPr>
      </w:pPr>
      <w:r w:rsidRPr="00CA2FFF">
        <w:rPr>
          <w:rFonts w:asciiTheme="minorHAnsi" w:hAnsiTheme="minorHAnsi" w:cstheme="minorHAnsi"/>
        </w:rPr>
        <w:t xml:space="preserve">O descumprimento, pelo denunciado, do acordo obtido na audiência de conciliação ensejará o restabelecimento </w:t>
      </w:r>
      <w:r>
        <w:rPr>
          <w:rFonts w:asciiTheme="minorHAnsi" w:hAnsiTheme="minorHAnsi" w:cstheme="minorHAnsi"/>
        </w:rPr>
        <w:t xml:space="preserve">da denúncia ou </w:t>
      </w:r>
      <w:r w:rsidRPr="00CA2FFF">
        <w:rPr>
          <w:rFonts w:asciiTheme="minorHAnsi" w:hAnsiTheme="minorHAnsi" w:cstheme="minorHAnsi"/>
        </w:rPr>
        <w:t>do processo ético-disciplinar</w:t>
      </w:r>
      <w:r>
        <w:rPr>
          <w:rFonts w:asciiTheme="minorHAnsi" w:hAnsiTheme="minorHAnsi" w:cstheme="minorHAnsi"/>
        </w:rPr>
        <w:t xml:space="preserve"> a partir do </w:t>
      </w:r>
      <w:r w:rsidRPr="008757A7">
        <w:rPr>
          <w:rFonts w:asciiTheme="minorHAnsi" w:hAnsiTheme="minorHAnsi" w:cstheme="minorHAnsi"/>
        </w:rPr>
        <w:t>ponto imediatamente anterior ao dos atos de conciliação, voltando a correr o prazo prescricional da pretensão punitiva pelo restante</w:t>
      </w:r>
      <w:r w:rsidRPr="00CA2FFF">
        <w:rPr>
          <w:rFonts w:asciiTheme="minorHAnsi" w:hAnsiTheme="minorHAnsi" w:cstheme="minorHAnsi"/>
        </w:rPr>
        <w:t>.</w:t>
      </w:r>
    </w:p>
    <w:p w14:paraId="646C6522" w14:textId="77777777" w:rsidR="00635DD8" w:rsidRDefault="00635DD8" w:rsidP="008F494A">
      <w:pPr>
        <w:pStyle w:val="PargrafodaLista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line="276" w:lineRule="auto"/>
        <w:ind w:left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Parágrafo único.</w:t>
      </w:r>
      <w:r>
        <w:rPr>
          <w:rFonts w:asciiTheme="minorHAnsi" w:hAnsiTheme="minorHAnsi" w:cstheme="minorHAnsi"/>
        </w:rPr>
        <w:tab/>
      </w:r>
      <w:r w:rsidRPr="00CA2FFF">
        <w:rPr>
          <w:rFonts w:asciiTheme="minorHAnsi" w:hAnsiTheme="minorHAnsi" w:cstheme="minorHAnsi"/>
        </w:rPr>
        <w:t>Havendo descumprimento pelo denunciante, poderá o denunciado, nos termos da legislação pátria, exigir a prestação em juízo</w:t>
      </w:r>
      <w:r>
        <w:rPr>
          <w:rFonts w:asciiTheme="minorHAnsi" w:hAnsiTheme="minorHAnsi" w:cstheme="minorHAnsi"/>
        </w:rPr>
        <w:t>, sem prejuízo do eventual restabelecimento da denúncia ou do processo ético-disciplinar</w:t>
      </w:r>
      <w:r w:rsidRPr="00CA2FFF">
        <w:rPr>
          <w:rFonts w:asciiTheme="minorHAnsi" w:hAnsiTheme="minorHAnsi" w:cstheme="minorHAnsi"/>
        </w:rPr>
        <w:t>.</w:t>
      </w:r>
    </w:p>
    <w:p w14:paraId="5A1C853D" w14:textId="77777777" w:rsidR="008F494A" w:rsidRPr="00CA2FFF" w:rsidRDefault="008F494A" w:rsidP="008F494A">
      <w:pPr>
        <w:pStyle w:val="PargrafodaLista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line="276" w:lineRule="auto"/>
        <w:ind w:left="0"/>
        <w:contextualSpacing w:val="0"/>
        <w:jc w:val="both"/>
        <w:rPr>
          <w:rFonts w:asciiTheme="minorHAnsi" w:hAnsiTheme="minorHAnsi" w:cstheme="minorHAnsi"/>
        </w:rPr>
      </w:pPr>
    </w:p>
    <w:p w14:paraId="5736C931" w14:textId="5E54644F" w:rsidR="00635DD8" w:rsidRPr="00E40992" w:rsidRDefault="008F494A" w:rsidP="008F494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TÍTULO III</w:t>
      </w:r>
      <w:r>
        <w:rPr>
          <w:rFonts w:asciiTheme="minorHAnsi" w:hAnsiTheme="minorHAnsi" w:cstheme="minorHAnsi"/>
          <w:b/>
        </w:rPr>
        <w:br/>
      </w:r>
      <w:r w:rsidR="00635DD8" w:rsidRPr="00E40992">
        <w:rPr>
          <w:rFonts w:asciiTheme="minorHAnsi" w:hAnsiTheme="minorHAnsi" w:cstheme="minorHAnsi"/>
          <w:b/>
        </w:rPr>
        <w:t>DAS DISPOSIÇÕES FINAIS</w:t>
      </w:r>
    </w:p>
    <w:p w14:paraId="6BD14FAA" w14:textId="77777777" w:rsidR="00635DD8" w:rsidRPr="00D02154" w:rsidRDefault="00635DD8" w:rsidP="008F494A">
      <w:pPr>
        <w:pStyle w:val="PargrafodaLista"/>
        <w:numPr>
          <w:ilvl w:val="1"/>
          <w:numId w:val="42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As conciliações </w:t>
      </w:r>
      <w:r w:rsidRPr="00E40992">
        <w:rPr>
          <w:rFonts w:asciiTheme="minorHAnsi" w:hAnsiTheme="minorHAnsi" w:cstheme="minorHAnsi"/>
        </w:rPr>
        <w:t>celebrad</w:t>
      </w:r>
      <w:r>
        <w:rPr>
          <w:rFonts w:asciiTheme="minorHAnsi" w:hAnsiTheme="minorHAnsi" w:cstheme="minorHAnsi"/>
        </w:rPr>
        <w:t>as deverão ser registrada</w:t>
      </w:r>
      <w:r w:rsidRPr="00E40992">
        <w:rPr>
          <w:rFonts w:asciiTheme="minorHAnsi" w:hAnsiTheme="minorHAnsi" w:cstheme="minorHAnsi"/>
        </w:rPr>
        <w:t xml:space="preserve">s de modo a viabilizar </w:t>
      </w:r>
      <w:r>
        <w:rPr>
          <w:rFonts w:asciiTheme="minorHAnsi" w:hAnsiTheme="minorHAnsi" w:cstheme="minorHAnsi"/>
        </w:rPr>
        <w:t xml:space="preserve">consulta futura, </w:t>
      </w:r>
      <w:r w:rsidRPr="00D02154">
        <w:rPr>
          <w:rFonts w:asciiTheme="minorHAnsi" w:hAnsiTheme="minorHAnsi" w:cstheme="minorHAnsi"/>
        </w:rPr>
        <w:t>resguardando-se as informações sigilosas nos termos da Lei.</w:t>
      </w:r>
    </w:p>
    <w:p w14:paraId="57EA180E" w14:textId="77777777" w:rsidR="00635DD8" w:rsidRPr="00D02154" w:rsidRDefault="00635DD8" w:rsidP="008F494A">
      <w:pPr>
        <w:pStyle w:val="PargrafodaLista"/>
        <w:numPr>
          <w:ilvl w:val="1"/>
          <w:numId w:val="42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contextualSpacing w:val="0"/>
        <w:jc w:val="both"/>
        <w:rPr>
          <w:rFonts w:asciiTheme="minorHAnsi" w:hAnsiTheme="minorHAnsi" w:cstheme="minorHAnsi"/>
        </w:rPr>
      </w:pPr>
      <w:r w:rsidRPr="00D02154">
        <w:rPr>
          <w:rFonts w:asciiTheme="minorHAnsi" w:hAnsiTheme="minorHAnsi" w:cstheme="minorHAnsi"/>
        </w:rPr>
        <w:t>Os casos omissos serão resolvidos pela CED-CAU/RS, mediante solicitação do interessado.</w:t>
      </w:r>
    </w:p>
    <w:p w14:paraId="4AA9AF1F" w14:textId="77777777" w:rsidR="00635DD8" w:rsidRPr="00E40992" w:rsidRDefault="00635DD8" w:rsidP="008F494A">
      <w:pPr>
        <w:pStyle w:val="PargrafodaLista"/>
        <w:numPr>
          <w:ilvl w:val="1"/>
          <w:numId w:val="42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contextualSpacing w:val="0"/>
        <w:jc w:val="both"/>
        <w:rPr>
          <w:rFonts w:asciiTheme="minorHAnsi" w:hAnsiTheme="minorHAnsi" w:cstheme="minorHAnsi"/>
        </w:rPr>
      </w:pPr>
      <w:r w:rsidRPr="00E40992">
        <w:rPr>
          <w:rFonts w:asciiTheme="minorHAnsi" w:hAnsiTheme="minorHAnsi" w:cstheme="minorHAnsi"/>
        </w:rPr>
        <w:lastRenderedPageBreak/>
        <w:t>Essa Portaria Normativa entre em vigor na data de sua assinatura.</w:t>
      </w:r>
    </w:p>
    <w:p w14:paraId="6AB01086" w14:textId="77777777" w:rsidR="00635DD8" w:rsidRPr="00E40992" w:rsidRDefault="00635DD8" w:rsidP="008F494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jc w:val="both"/>
        <w:rPr>
          <w:rFonts w:asciiTheme="minorHAnsi" w:hAnsiTheme="minorHAnsi" w:cstheme="minorHAnsi"/>
        </w:rPr>
      </w:pPr>
    </w:p>
    <w:p w14:paraId="7F76E3D4" w14:textId="719113A1" w:rsidR="00635DD8" w:rsidRPr="00E40992" w:rsidRDefault="00635DD8" w:rsidP="008F494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jc w:val="center"/>
        <w:rPr>
          <w:rFonts w:asciiTheme="minorHAnsi" w:hAnsiTheme="minorHAnsi" w:cstheme="minorHAnsi"/>
        </w:rPr>
      </w:pPr>
      <w:r w:rsidRPr="00E40992">
        <w:rPr>
          <w:rFonts w:asciiTheme="minorHAnsi" w:hAnsiTheme="minorHAnsi" w:cstheme="minorHAnsi"/>
        </w:rPr>
        <w:t>P</w:t>
      </w:r>
      <w:r w:rsidR="008F494A">
        <w:rPr>
          <w:rFonts w:asciiTheme="minorHAnsi" w:hAnsiTheme="minorHAnsi" w:cstheme="minorHAnsi"/>
        </w:rPr>
        <w:t>orto Alegre – RS, 22 de março</w:t>
      </w:r>
      <w:r w:rsidRPr="00E40992">
        <w:rPr>
          <w:rFonts w:asciiTheme="minorHAnsi" w:hAnsiTheme="minorHAnsi" w:cstheme="minorHAnsi"/>
        </w:rPr>
        <w:t xml:space="preserve"> de 202</w:t>
      </w:r>
      <w:r>
        <w:rPr>
          <w:rFonts w:asciiTheme="minorHAnsi" w:hAnsiTheme="minorHAnsi" w:cstheme="minorHAnsi"/>
        </w:rPr>
        <w:t>3</w:t>
      </w:r>
      <w:r w:rsidRPr="00E40992">
        <w:rPr>
          <w:rFonts w:asciiTheme="minorHAnsi" w:hAnsiTheme="minorHAnsi" w:cstheme="minorHAnsi"/>
        </w:rPr>
        <w:t>.</w:t>
      </w:r>
    </w:p>
    <w:p w14:paraId="0F0F4596" w14:textId="77777777" w:rsidR="00635DD8" w:rsidRPr="00E40992" w:rsidRDefault="00635DD8" w:rsidP="008F494A">
      <w:pPr>
        <w:spacing w:after="200" w:line="276" w:lineRule="auto"/>
        <w:jc w:val="center"/>
        <w:rPr>
          <w:rFonts w:asciiTheme="minorHAnsi" w:eastAsia="Arial" w:hAnsiTheme="minorHAnsi" w:cstheme="minorHAnsi"/>
          <w:caps/>
        </w:rPr>
      </w:pPr>
    </w:p>
    <w:p w14:paraId="57ED51D9" w14:textId="77777777" w:rsidR="00635DD8" w:rsidRPr="00E40992" w:rsidRDefault="00635DD8" w:rsidP="008F494A">
      <w:pPr>
        <w:spacing w:after="200" w:line="276" w:lineRule="auto"/>
        <w:jc w:val="center"/>
        <w:rPr>
          <w:rFonts w:asciiTheme="minorHAnsi" w:eastAsia="Arial" w:hAnsiTheme="minorHAnsi" w:cstheme="minorHAnsi"/>
          <w:caps/>
        </w:rPr>
      </w:pPr>
    </w:p>
    <w:p w14:paraId="66F0520A" w14:textId="1C68F918" w:rsidR="00635DD8" w:rsidRPr="00E40992" w:rsidRDefault="00635DD8" w:rsidP="008F494A">
      <w:pPr>
        <w:spacing w:after="200" w:line="276" w:lineRule="auto"/>
        <w:jc w:val="center"/>
        <w:rPr>
          <w:rFonts w:asciiTheme="minorHAnsi" w:eastAsia="Arial" w:hAnsiTheme="minorHAnsi" w:cstheme="minorHAnsi"/>
        </w:rPr>
      </w:pPr>
      <w:r w:rsidRPr="00E40992">
        <w:rPr>
          <w:rFonts w:asciiTheme="minorHAnsi" w:eastAsia="Arial" w:hAnsiTheme="minorHAnsi" w:cstheme="minorHAnsi"/>
          <w:b/>
          <w:bCs/>
          <w:caps/>
        </w:rPr>
        <w:t>TIAGO HOLZMANN DA SILVA</w:t>
      </w:r>
      <w:r w:rsidR="008F494A">
        <w:rPr>
          <w:rFonts w:asciiTheme="minorHAnsi" w:eastAsia="Arial" w:hAnsiTheme="minorHAnsi" w:cstheme="minorHAnsi"/>
          <w:b/>
          <w:bCs/>
          <w:caps/>
        </w:rPr>
        <w:br/>
      </w:r>
      <w:r w:rsidRPr="00E40992">
        <w:rPr>
          <w:rFonts w:asciiTheme="minorHAnsi" w:eastAsia="Arial" w:hAnsiTheme="minorHAnsi" w:cstheme="minorHAnsi"/>
        </w:rPr>
        <w:t>Presidente do CAU/RS</w:t>
      </w:r>
    </w:p>
    <w:p w14:paraId="5DDA2676" w14:textId="77777777" w:rsidR="00635DD8" w:rsidRDefault="00635DD8" w:rsidP="008F494A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635DD8" w:rsidSect="00756C3A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851" w:bottom="851" w:left="1701" w:header="1417" w:footer="17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34A0F" w14:textId="77777777" w:rsidR="000E6899" w:rsidRDefault="000E6899">
      <w:r>
        <w:separator/>
      </w:r>
    </w:p>
  </w:endnote>
  <w:endnote w:type="continuationSeparator" w:id="0">
    <w:p w14:paraId="0442463B" w14:textId="77777777" w:rsidR="000E6899" w:rsidRDefault="000E6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mo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BC7B1" w14:textId="77777777"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248C8D1" w14:textId="77777777"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14:paraId="3D4CA28A" w14:textId="6D669571"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8F494A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0044CD8" w14:textId="77777777"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0004DA9B" w14:textId="77777777" w:rsidR="00507DD9" w:rsidRDefault="00E60FE1"/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1000E" w14:textId="77777777"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ECBF673" w14:textId="77777777"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14:paraId="11BA59B2" w14:textId="77777777"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8F494A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350FB2D1" w14:textId="77777777"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364BDBC3" w14:textId="77777777" w:rsidR="00507DD9" w:rsidRDefault="00E60FE1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924E8" w14:textId="77777777" w:rsidR="000E6899" w:rsidRDefault="000E6899">
      <w:r>
        <w:separator/>
      </w:r>
    </w:p>
  </w:footnote>
  <w:footnote w:type="continuationSeparator" w:id="0">
    <w:p w14:paraId="19E771B2" w14:textId="77777777" w:rsidR="000E6899" w:rsidRDefault="000E6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FDDF5" w14:textId="77777777"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70063C55" wp14:editId="3A457B85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3E2F245" w14:textId="77777777" w:rsidR="00507DD9" w:rsidRDefault="00507DD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950B9" w14:textId="77777777"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 wp14:anchorId="16A073DD" wp14:editId="248990E5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4A7809" w14:textId="77777777" w:rsidR="00507DD9" w:rsidRDefault="00507DD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6088"/>
    <w:multiLevelType w:val="hybridMultilevel"/>
    <w:tmpl w:val="346433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3FE5"/>
    <w:multiLevelType w:val="multilevel"/>
    <w:tmpl w:val="613A86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0E04CF"/>
    <w:multiLevelType w:val="multilevel"/>
    <w:tmpl w:val="5CE078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0E923773"/>
    <w:multiLevelType w:val="hybridMultilevel"/>
    <w:tmpl w:val="D8A4BE7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7F2F72"/>
    <w:multiLevelType w:val="hybridMultilevel"/>
    <w:tmpl w:val="368E4A18"/>
    <w:lvl w:ilvl="0" w:tplc="CF4C37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00355"/>
    <w:multiLevelType w:val="hybridMultilevel"/>
    <w:tmpl w:val="F5FA40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32008"/>
    <w:multiLevelType w:val="hybridMultilevel"/>
    <w:tmpl w:val="EB12CF04"/>
    <w:numStyleLink w:val="EstiloImportado1"/>
  </w:abstractNum>
  <w:abstractNum w:abstractNumId="7" w15:restartNumberingAfterBreak="0">
    <w:nsid w:val="19F74DA4"/>
    <w:multiLevelType w:val="multilevel"/>
    <w:tmpl w:val="81063E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DE75217"/>
    <w:multiLevelType w:val="hybridMultilevel"/>
    <w:tmpl w:val="B1C42C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E2289"/>
    <w:multiLevelType w:val="hybridMultilevel"/>
    <w:tmpl w:val="032058CC"/>
    <w:lvl w:ilvl="0" w:tplc="C32CE9E2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52520"/>
    <w:multiLevelType w:val="hybridMultilevel"/>
    <w:tmpl w:val="390E35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84ED7"/>
    <w:multiLevelType w:val="hybridMultilevel"/>
    <w:tmpl w:val="C6F682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F2358"/>
    <w:multiLevelType w:val="hybridMultilevel"/>
    <w:tmpl w:val="1C52BD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C6A74"/>
    <w:multiLevelType w:val="multilevel"/>
    <w:tmpl w:val="6B7AAD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E27422"/>
    <w:multiLevelType w:val="multilevel"/>
    <w:tmpl w:val="3A9A86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D6B696E"/>
    <w:multiLevelType w:val="hybridMultilevel"/>
    <w:tmpl w:val="E5FEDD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CC7C5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986728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D65C9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4F84138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DC602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FFA46C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7C749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490693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40BF207C"/>
    <w:multiLevelType w:val="hybridMultilevel"/>
    <w:tmpl w:val="6DA026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529E4"/>
    <w:multiLevelType w:val="hybridMultilevel"/>
    <w:tmpl w:val="8368AB62"/>
    <w:lvl w:ilvl="0" w:tplc="63ECDFEE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44D03CBA">
      <w:numFmt w:val="bullet"/>
      <w:lvlText w:val="•"/>
      <w:lvlJc w:val="left"/>
      <w:pPr>
        <w:ind w:left="1670" w:hanging="360"/>
      </w:pPr>
      <w:rPr>
        <w:lang w:val="pt-PT" w:eastAsia="en-US" w:bidi="ar-SA"/>
      </w:rPr>
    </w:lvl>
    <w:lvl w:ilvl="2" w:tplc="F846353A">
      <w:numFmt w:val="bullet"/>
      <w:lvlText w:val="•"/>
      <w:lvlJc w:val="left"/>
      <w:pPr>
        <w:ind w:left="2520" w:hanging="360"/>
      </w:pPr>
      <w:rPr>
        <w:lang w:val="pt-PT" w:eastAsia="en-US" w:bidi="ar-SA"/>
      </w:rPr>
    </w:lvl>
    <w:lvl w:ilvl="3" w:tplc="65FABC70">
      <w:numFmt w:val="bullet"/>
      <w:lvlText w:val="•"/>
      <w:lvlJc w:val="left"/>
      <w:pPr>
        <w:ind w:left="3370" w:hanging="360"/>
      </w:pPr>
      <w:rPr>
        <w:lang w:val="pt-PT" w:eastAsia="en-US" w:bidi="ar-SA"/>
      </w:rPr>
    </w:lvl>
    <w:lvl w:ilvl="4" w:tplc="C86C4C44">
      <w:numFmt w:val="bullet"/>
      <w:lvlText w:val="•"/>
      <w:lvlJc w:val="left"/>
      <w:pPr>
        <w:ind w:left="4220" w:hanging="360"/>
      </w:pPr>
      <w:rPr>
        <w:lang w:val="pt-PT" w:eastAsia="en-US" w:bidi="ar-SA"/>
      </w:rPr>
    </w:lvl>
    <w:lvl w:ilvl="5" w:tplc="39C6B292">
      <w:numFmt w:val="bullet"/>
      <w:lvlText w:val="•"/>
      <w:lvlJc w:val="left"/>
      <w:pPr>
        <w:ind w:left="5071" w:hanging="360"/>
      </w:pPr>
      <w:rPr>
        <w:lang w:val="pt-PT" w:eastAsia="en-US" w:bidi="ar-SA"/>
      </w:rPr>
    </w:lvl>
    <w:lvl w:ilvl="6" w:tplc="0570FB5A">
      <w:numFmt w:val="bullet"/>
      <w:lvlText w:val="•"/>
      <w:lvlJc w:val="left"/>
      <w:pPr>
        <w:ind w:left="5921" w:hanging="360"/>
      </w:pPr>
      <w:rPr>
        <w:lang w:val="pt-PT" w:eastAsia="en-US" w:bidi="ar-SA"/>
      </w:rPr>
    </w:lvl>
    <w:lvl w:ilvl="7" w:tplc="66A66590">
      <w:numFmt w:val="bullet"/>
      <w:lvlText w:val="•"/>
      <w:lvlJc w:val="left"/>
      <w:pPr>
        <w:ind w:left="6771" w:hanging="360"/>
      </w:pPr>
      <w:rPr>
        <w:lang w:val="pt-PT" w:eastAsia="en-US" w:bidi="ar-SA"/>
      </w:rPr>
    </w:lvl>
    <w:lvl w:ilvl="8" w:tplc="D67030F4">
      <w:numFmt w:val="bullet"/>
      <w:lvlText w:val="•"/>
      <w:lvlJc w:val="left"/>
      <w:pPr>
        <w:ind w:left="7621" w:hanging="360"/>
      </w:pPr>
      <w:rPr>
        <w:lang w:val="pt-PT" w:eastAsia="en-US" w:bidi="ar-SA"/>
      </w:rPr>
    </w:lvl>
  </w:abstractNum>
  <w:abstractNum w:abstractNumId="20" w15:restartNumberingAfterBreak="0">
    <w:nsid w:val="486A404E"/>
    <w:multiLevelType w:val="hybridMultilevel"/>
    <w:tmpl w:val="36C216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7268F"/>
    <w:multiLevelType w:val="hybridMultilevel"/>
    <w:tmpl w:val="F11442A4"/>
    <w:lvl w:ilvl="0" w:tplc="8BA81B40">
      <w:start w:val="1"/>
      <w:numFmt w:val="decimal"/>
      <w:lvlText w:val="3.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1C4762"/>
    <w:multiLevelType w:val="multilevel"/>
    <w:tmpl w:val="966890A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3" w15:restartNumberingAfterBreak="0">
    <w:nsid w:val="51735E0D"/>
    <w:multiLevelType w:val="multilevel"/>
    <w:tmpl w:val="E96464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1F26770"/>
    <w:multiLevelType w:val="hybridMultilevel"/>
    <w:tmpl w:val="E0D874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3A470A"/>
    <w:multiLevelType w:val="hybridMultilevel"/>
    <w:tmpl w:val="20CCB8E2"/>
    <w:lvl w:ilvl="0" w:tplc="6BE0E8B0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40742BC2">
      <w:numFmt w:val="bullet"/>
      <w:lvlText w:val="•"/>
      <w:lvlJc w:val="left"/>
      <w:pPr>
        <w:ind w:left="1670" w:hanging="360"/>
      </w:pPr>
      <w:rPr>
        <w:lang w:val="pt-PT" w:eastAsia="en-US" w:bidi="ar-SA"/>
      </w:rPr>
    </w:lvl>
    <w:lvl w:ilvl="2" w:tplc="0DAE44BA">
      <w:numFmt w:val="bullet"/>
      <w:lvlText w:val="•"/>
      <w:lvlJc w:val="left"/>
      <w:pPr>
        <w:ind w:left="2520" w:hanging="360"/>
      </w:pPr>
      <w:rPr>
        <w:lang w:val="pt-PT" w:eastAsia="en-US" w:bidi="ar-SA"/>
      </w:rPr>
    </w:lvl>
    <w:lvl w:ilvl="3" w:tplc="1B587576">
      <w:numFmt w:val="bullet"/>
      <w:lvlText w:val="•"/>
      <w:lvlJc w:val="left"/>
      <w:pPr>
        <w:ind w:left="3370" w:hanging="360"/>
      </w:pPr>
      <w:rPr>
        <w:lang w:val="pt-PT" w:eastAsia="en-US" w:bidi="ar-SA"/>
      </w:rPr>
    </w:lvl>
    <w:lvl w:ilvl="4" w:tplc="B17A05CA">
      <w:numFmt w:val="bullet"/>
      <w:lvlText w:val="•"/>
      <w:lvlJc w:val="left"/>
      <w:pPr>
        <w:ind w:left="4220" w:hanging="360"/>
      </w:pPr>
      <w:rPr>
        <w:lang w:val="pt-PT" w:eastAsia="en-US" w:bidi="ar-SA"/>
      </w:rPr>
    </w:lvl>
    <w:lvl w:ilvl="5" w:tplc="80A81ED4">
      <w:numFmt w:val="bullet"/>
      <w:lvlText w:val="•"/>
      <w:lvlJc w:val="left"/>
      <w:pPr>
        <w:ind w:left="5071" w:hanging="360"/>
      </w:pPr>
      <w:rPr>
        <w:lang w:val="pt-PT" w:eastAsia="en-US" w:bidi="ar-SA"/>
      </w:rPr>
    </w:lvl>
    <w:lvl w:ilvl="6" w:tplc="29DC4B7E">
      <w:numFmt w:val="bullet"/>
      <w:lvlText w:val="•"/>
      <w:lvlJc w:val="left"/>
      <w:pPr>
        <w:ind w:left="5921" w:hanging="360"/>
      </w:pPr>
      <w:rPr>
        <w:lang w:val="pt-PT" w:eastAsia="en-US" w:bidi="ar-SA"/>
      </w:rPr>
    </w:lvl>
    <w:lvl w:ilvl="7" w:tplc="98162F36">
      <w:numFmt w:val="bullet"/>
      <w:lvlText w:val="•"/>
      <w:lvlJc w:val="left"/>
      <w:pPr>
        <w:ind w:left="6771" w:hanging="360"/>
      </w:pPr>
      <w:rPr>
        <w:lang w:val="pt-PT" w:eastAsia="en-US" w:bidi="ar-SA"/>
      </w:rPr>
    </w:lvl>
    <w:lvl w:ilvl="8" w:tplc="B4BE5C26">
      <w:numFmt w:val="bullet"/>
      <w:lvlText w:val="•"/>
      <w:lvlJc w:val="left"/>
      <w:pPr>
        <w:ind w:left="7621" w:hanging="360"/>
      </w:pPr>
      <w:rPr>
        <w:lang w:val="pt-PT" w:eastAsia="en-US" w:bidi="ar-SA"/>
      </w:rPr>
    </w:lvl>
  </w:abstractNum>
  <w:abstractNum w:abstractNumId="26" w15:restartNumberingAfterBreak="0">
    <w:nsid w:val="536F20FC"/>
    <w:multiLevelType w:val="multilevel"/>
    <w:tmpl w:val="9CA61FE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390" w:hanging="30"/>
      </w:pPr>
      <w:rPr>
        <w:b w:val="0"/>
        <w:i/>
      </w:rPr>
    </w:lvl>
    <w:lvl w:ilvl="2">
      <w:start w:val="1"/>
      <w:numFmt w:val="decimal"/>
      <w:isLgl/>
      <w:lvlText w:val="%1.%2.%3"/>
      <w:lvlJc w:val="left"/>
      <w:pPr>
        <w:ind w:left="750" w:hanging="390"/>
      </w:pPr>
      <w:rPr>
        <w:b w:val="0"/>
        <w:i/>
      </w:rPr>
    </w:lvl>
    <w:lvl w:ilvl="3">
      <w:start w:val="1"/>
      <w:numFmt w:val="decimal"/>
      <w:isLgl/>
      <w:lvlText w:val="%1.%2.%3.%4"/>
      <w:lvlJc w:val="left"/>
      <w:pPr>
        <w:ind w:left="750" w:hanging="390"/>
      </w:pPr>
    </w:lvl>
    <w:lvl w:ilvl="4">
      <w:start w:val="1"/>
      <w:numFmt w:val="decimal"/>
      <w:isLgl/>
      <w:lvlText w:val="%1.%2.%3.%4.%5"/>
      <w:lvlJc w:val="left"/>
      <w:pPr>
        <w:ind w:left="1110" w:hanging="750"/>
      </w:pPr>
    </w:lvl>
    <w:lvl w:ilvl="5">
      <w:start w:val="1"/>
      <w:numFmt w:val="decimal"/>
      <w:isLgl/>
      <w:lvlText w:val="%1.%2.%3.%4.%5.%6"/>
      <w:lvlJc w:val="left"/>
      <w:pPr>
        <w:ind w:left="1110" w:hanging="750"/>
      </w:pPr>
    </w:lvl>
    <w:lvl w:ilvl="6">
      <w:start w:val="1"/>
      <w:numFmt w:val="decimal"/>
      <w:isLgl/>
      <w:lvlText w:val="%1.%2.%3.%4.%5.%6.%7"/>
      <w:lvlJc w:val="left"/>
      <w:pPr>
        <w:ind w:left="1470" w:hanging="1110"/>
      </w:pPr>
    </w:lvl>
    <w:lvl w:ilvl="7">
      <w:start w:val="1"/>
      <w:numFmt w:val="decimal"/>
      <w:isLgl/>
      <w:lvlText w:val="%1.%2.%3.%4.%5.%6.%7.%8"/>
      <w:lvlJc w:val="left"/>
      <w:pPr>
        <w:ind w:left="1470" w:hanging="1110"/>
      </w:pPr>
    </w:lvl>
    <w:lvl w:ilvl="8">
      <w:start w:val="1"/>
      <w:numFmt w:val="decimal"/>
      <w:isLgl/>
      <w:lvlText w:val="%1.%2.%3.%4.%5.%6.%7.%8.%9"/>
      <w:lvlJc w:val="left"/>
      <w:pPr>
        <w:ind w:left="1830" w:hanging="1470"/>
      </w:pPr>
    </w:lvl>
  </w:abstractNum>
  <w:abstractNum w:abstractNumId="27" w15:restartNumberingAfterBreak="0">
    <w:nsid w:val="54B74539"/>
    <w:multiLevelType w:val="multilevel"/>
    <w:tmpl w:val="95A41B6A"/>
    <w:lvl w:ilvl="0">
      <w:start w:val="1"/>
      <w:numFmt w:val="decimal"/>
      <w:lvlText w:val="Art. %1º"/>
      <w:lvlJc w:val="left"/>
      <w:pPr>
        <w:ind w:left="0" w:firstLine="0"/>
      </w:pPr>
      <w:rPr>
        <w:rFonts w:ascii="Calibri" w:hAnsi="Calibri" w:hint="default"/>
        <w:b/>
        <w:color w:val="auto"/>
        <w:sz w:val="24"/>
      </w:rPr>
    </w:lvl>
    <w:lvl w:ilvl="1">
      <w:start w:val="1"/>
      <w:numFmt w:val="decimal"/>
      <w:lvlText w:val="Art. %2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Text w:val="§ %3º"/>
      <w:lvlJc w:val="left"/>
      <w:pPr>
        <w:ind w:left="0" w:firstLine="0"/>
      </w:pPr>
      <w:rPr>
        <w:rFonts w:ascii="Calibri" w:hAnsi="Calibri" w:hint="default"/>
        <w:sz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color w:val="auto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28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B31033"/>
    <w:multiLevelType w:val="hybridMultilevel"/>
    <w:tmpl w:val="59126F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C67389"/>
    <w:multiLevelType w:val="multilevel"/>
    <w:tmpl w:val="5BC6477A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1" w15:restartNumberingAfterBreak="0">
    <w:nsid w:val="5CF61E0B"/>
    <w:multiLevelType w:val="hybridMultilevel"/>
    <w:tmpl w:val="6BC854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380D98"/>
    <w:multiLevelType w:val="multilevel"/>
    <w:tmpl w:val="3DC067E4"/>
    <w:name w:val="NF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color w:val="auto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3" w15:restartNumberingAfterBreak="0">
    <w:nsid w:val="623F5ADD"/>
    <w:multiLevelType w:val="multilevel"/>
    <w:tmpl w:val="5AC6C67A"/>
    <w:name w:val="NFs2"/>
    <w:lvl w:ilvl="0">
      <w:start w:val="3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4" w15:restartNumberingAfterBreak="0">
    <w:nsid w:val="64530F83"/>
    <w:multiLevelType w:val="multilevel"/>
    <w:tmpl w:val="2188E24A"/>
    <w:lvl w:ilvl="0">
      <w:start w:val="9"/>
      <w:numFmt w:val="decimal"/>
      <w:lvlText w:val="Art. %1º"/>
      <w:lvlJc w:val="left"/>
      <w:pPr>
        <w:ind w:left="0" w:firstLine="0"/>
      </w:pPr>
      <w:rPr>
        <w:rFonts w:ascii="Calibri" w:hAnsi="Calibri" w:hint="default"/>
        <w:b/>
        <w:sz w:val="24"/>
      </w:rPr>
    </w:lvl>
    <w:lvl w:ilvl="1">
      <w:start w:val="10"/>
      <w:numFmt w:val="decimal"/>
      <w:lvlText w:val="Art. 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4"/>
      </w:rPr>
    </w:lvl>
    <w:lvl w:ilvl="2">
      <w:start w:val="1"/>
      <w:numFmt w:val="decimal"/>
      <w:lvlText w:val="§ %3º"/>
      <w:lvlJc w:val="left"/>
      <w:pPr>
        <w:ind w:left="0" w:firstLine="0"/>
      </w:pPr>
      <w:rPr>
        <w:rFonts w:ascii="Calibri" w:hAnsi="Calibri" w:hint="default"/>
        <w:sz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5" w15:restartNumberingAfterBreak="0">
    <w:nsid w:val="680C65B8"/>
    <w:multiLevelType w:val="multilevel"/>
    <w:tmpl w:val="2188E24A"/>
    <w:lvl w:ilvl="0">
      <w:start w:val="9"/>
      <w:numFmt w:val="decimal"/>
      <w:lvlText w:val="Art. %1º"/>
      <w:lvlJc w:val="left"/>
      <w:pPr>
        <w:ind w:left="0" w:firstLine="0"/>
      </w:pPr>
      <w:rPr>
        <w:rFonts w:ascii="Calibri" w:hAnsi="Calibri" w:hint="default"/>
        <w:b/>
        <w:sz w:val="24"/>
      </w:rPr>
    </w:lvl>
    <w:lvl w:ilvl="1">
      <w:start w:val="10"/>
      <w:numFmt w:val="decimal"/>
      <w:lvlText w:val="Art. 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4"/>
      </w:rPr>
    </w:lvl>
    <w:lvl w:ilvl="2">
      <w:start w:val="1"/>
      <w:numFmt w:val="decimal"/>
      <w:lvlText w:val="§ %3º"/>
      <w:lvlJc w:val="left"/>
      <w:pPr>
        <w:ind w:left="0" w:firstLine="0"/>
      </w:pPr>
      <w:rPr>
        <w:rFonts w:ascii="Calibri" w:hAnsi="Calibri" w:hint="default"/>
        <w:sz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6" w15:restartNumberingAfterBreak="0">
    <w:nsid w:val="6A2F4819"/>
    <w:multiLevelType w:val="multilevel"/>
    <w:tmpl w:val="3C3E79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BA55468"/>
    <w:multiLevelType w:val="hybridMultilevel"/>
    <w:tmpl w:val="3C62ED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251725"/>
    <w:multiLevelType w:val="hybridMultilevel"/>
    <w:tmpl w:val="42ECBBF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3F5E43"/>
    <w:multiLevelType w:val="hybridMultilevel"/>
    <w:tmpl w:val="1184499A"/>
    <w:lvl w:ilvl="0" w:tplc="E9AE3ACC">
      <w:start w:val="1"/>
      <w:numFmt w:val="decimal"/>
      <w:lvlText w:val="%1"/>
      <w:lvlJc w:val="left"/>
      <w:pPr>
        <w:ind w:left="720" w:hanging="360"/>
      </w:pPr>
      <w:rPr>
        <w:rFonts w:asciiTheme="minorHAnsi" w:eastAsia="Cambria" w:hAnsiTheme="minorHAnsi" w:cstheme="minorHAnsi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E72F97"/>
    <w:multiLevelType w:val="hybridMultilevel"/>
    <w:tmpl w:val="CDA273FA"/>
    <w:lvl w:ilvl="0" w:tplc="9740EE5C">
      <w:numFmt w:val="bullet"/>
      <w:lvlText w:val="-"/>
      <w:lvlJc w:val="left"/>
      <w:pPr>
        <w:ind w:left="103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DC1830B0">
      <w:numFmt w:val="bullet"/>
      <w:lvlText w:val="•"/>
      <w:lvlJc w:val="left"/>
      <w:pPr>
        <w:ind w:left="1022" w:hanging="129"/>
      </w:pPr>
      <w:rPr>
        <w:lang w:val="pt-PT" w:eastAsia="en-US" w:bidi="ar-SA"/>
      </w:rPr>
    </w:lvl>
    <w:lvl w:ilvl="2" w:tplc="225C7708">
      <w:numFmt w:val="bullet"/>
      <w:lvlText w:val="•"/>
      <w:lvlJc w:val="left"/>
      <w:pPr>
        <w:ind w:left="1944" w:hanging="129"/>
      </w:pPr>
      <w:rPr>
        <w:lang w:val="pt-PT" w:eastAsia="en-US" w:bidi="ar-SA"/>
      </w:rPr>
    </w:lvl>
    <w:lvl w:ilvl="3" w:tplc="014CFAEC">
      <w:numFmt w:val="bullet"/>
      <w:lvlText w:val="•"/>
      <w:lvlJc w:val="left"/>
      <w:pPr>
        <w:ind w:left="2866" w:hanging="129"/>
      </w:pPr>
      <w:rPr>
        <w:lang w:val="pt-PT" w:eastAsia="en-US" w:bidi="ar-SA"/>
      </w:rPr>
    </w:lvl>
    <w:lvl w:ilvl="4" w:tplc="BEAA3698">
      <w:numFmt w:val="bullet"/>
      <w:lvlText w:val="•"/>
      <w:lvlJc w:val="left"/>
      <w:pPr>
        <w:ind w:left="3788" w:hanging="129"/>
      </w:pPr>
      <w:rPr>
        <w:lang w:val="pt-PT" w:eastAsia="en-US" w:bidi="ar-SA"/>
      </w:rPr>
    </w:lvl>
    <w:lvl w:ilvl="5" w:tplc="D0ACE98C">
      <w:numFmt w:val="bullet"/>
      <w:lvlText w:val="•"/>
      <w:lvlJc w:val="left"/>
      <w:pPr>
        <w:ind w:left="4711" w:hanging="129"/>
      </w:pPr>
      <w:rPr>
        <w:lang w:val="pt-PT" w:eastAsia="en-US" w:bidi="ar-SA"/>
      </w:rPr>
    </w:lvl>
    <w:lvl w:ilvl="6" w:tplc="28663842">
      <w:numFmt w:val="bullet"/>
      <w:lvlText w:val="•"/>
      <w:lvlJc w:val="left"/>
      <w:pPr>
        <w:ind w:left="5633" w:hanging="129"/>
      </w:pPr>
      <w:rPr>
        <w:lang w:val="pt-PT" w:eastAsia="en-US" w:bidi="ar-SA"/>
      </w:rPr>
    </w:lvl>
    <w:lvl w:ilvl="7" w:tplc="B9848960">
      <w:numFmt w:val="bullet"/>
      <w:lvlText w:val="•"/>
      <w:lvlJc w:val="left"/>
      <w:pPr>
        <w:ind w:left="6555" w:hanging="129"/>
      </w:pPr>
      <w:rPr>
        <w:lang w:val="pt-PT" w:eastAsia="en-US" w:bidi="ar-SA"/>
      </w:rPr>
    </w:lvl>
    <w:lvl w:ilvl="8" w:tplc="9AF2DCB4">
      <w:numFmt w:val="bullet"/>
      <w:lvlText w:val="•"/>
      <w:lvlJc w:val="left"/>
      <w:pPr>
        <w:ind w:left="7477" w:hanging="129"/>
      </w:pPr>
      <w:rPr>
        <w:lang w:val="pt-PT" w:eastAsia="en-US" w:bidi="ar-SA"/>
      </w:rPr>
    </w:lvl>
  </w:abstractNum>
  <w:abstractNum w:abstractNumId="41" w15:restartNumberingAfterBreak="0">
    <w:nsid w:val="712F6A67"/>
    <w:multiLevelType w:val="hybridMultilevel"/>
    <w:tmpl w:val="A3F6B7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8B41A3"/>
    <w:multiLevelType w:val="hybridMultilevel"/>
    <w:tmpl w:val="B47C6C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F90A37"/>
    <w:multiLevelType w:val="multilevel"/>
    <w:tmpl w:val="3920E8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F274E47"/>
    <w:multiLevelType w:val="multilevel"/>
    <w:tmpl w:val="3084B960"/>
    <w:lvl w:ilvl="0">
      <w:start w:val="2"/>
      <w:numFmt w:val="decimal"/>
      <w:lvlText w:val="%1"/>
      <w:lvlJc w:val="left"/>
      <w:pPr>
        <w:ind w:left="432" w:hanging="33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32" w:hanging="330"/>
      </w:pPr>
      <w:rPr>
        <w:rFonts w:asciiTheme="minorHAnsi" w:eastAsia="Times New Roman" w:hAnsiTheme="minorHAnsi" w:cstheme="minorHAnsi" w:hint="default"/>
        <w:b/>
        <w:bCs/>
        <w:i w:val="0"/>
        <w:iCs w:val="0"/>
        <w:w w:val="99"/>
        <w:sz w:val="22"/>
        <w:szCs w:val="22"/>
        <w:lang w:val="pt-PT" w:eastAsia="en-US" w:bidi="ar-SA"/>
      </w:rPr>
    </w:lvl>
    <w:lvl w:ilvl="2">
      <w:numFmt w:val="bullet"/>
      <w:lvlText w:val="-"/>
      <w:lvlJc w:val="left"/>
      <w:pPr>
        <w:ind w:left="103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413" w:hanging="129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400" w:hanging="129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387" w:hanging="129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374" w:hanging="129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361" w:hanging="129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348" w:hanging="129"/>
      </w:pPr>
      <w:rPr>
        <w:lang w:val="pt-PT" w:eastAsia="en-US" w:bidi="ar-SA"/>
      </w:rPr>
    </w:lvl>
  </w:abstractNum>
  <w:num w:numId="1" w16cid:durableId="490340589">
    <w:abstractNumId w:val="17"/>
  </w:num>
  <w:num w:numId="2" w16cid:durableId="530462963">
    <w:abstractNumId w:val="42"/>
  </w:num>
  <w:num w:numId="3" w16cid:durableId="1322545865">
    <w:abstractNumId w:val="6"/>
    <w:lvlOverride w:ilvl="0">
      <w:lvl w:ilvl="0" w:tplc="0C5C6D8A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067997038">
    <w:abstractNumId w:val="9"/>
  </w:num>
  <w:num w:numId="5" w16cid:durableId="1807619407">
    <w:abstractNumId w:val="1"/>
  </w:num>
  <w:num w:numId="6" w16cid:durableId="1189101793">
    <w:abstractNumId w:val="14"/>
  </w:num>
  <w:num w:numId="7" w16cid:durableId="1561356634">
    <w:abstractNumId w:val="43"/>
  </w:num>
  <w:num w:numId="8" w16cid:durableId="1944723962">
    <w:abstractNumId w:val="2"/>
  </w:num>
  <w:num w:numId="9" w16cid:durableId="991760255">
    <w:abstractNumId w:val="15"/>
  </w:num>
  <w:num w:numId="10" w16cid:durableId="1207596437">
    <w:abstractNumId w:val="4"/>
  </w:num>
  <w:num w:numId="11" w16cid:durableId="631055595">
    <w:abstractNumId w:val="10"/>
  </w:num>
  <w:num w:numId="12" w16cid:durableId="6910162">
    <w:abstractNumId w:val="36"/>
  </w:num>
  <w:num w:numId="13" w16cid:durableId="1949267164">
    <w:abstractNumId w:val="7"/>
  </w:num>
  <w:num w:numId="14" w16cid:durableId="2116288881">
    <w:abstractNumId w:val="0"/>
  </w:num>
  <w:num w:numId="15" w16cid:durableId="1951667007">
    <w:abstractNumId w:val="5"/>
  </w:num>
  <w:num w:numId="16" w16cid:durableId="1801806198">
    <w:abstractNumId w:val="16"/>
  </w:num>
  <w:num w:numId="17" w16cid:durableId="2032492109">
    <w:abstractNumId w:val="18"/>
  </w:num>
  <w:num w:numId="18" w16cid:durableId="2132939511">
    <w:abstractNumId w:val="37"/>
  </w:num>
  <w:num w:numId="19" w16cid:durableId="1962953472">
    <w:abstractNumId w:val="38"/>
  </w:num>
  <w:num w:numId="20" w16cid:durableId="1404523147">
    <w:abstractNumId w:val="41"/>
  </w:num>
  <w:num w:numId="21" w16cid:durableId="276135725">
    <w:abstractNumId w:val="31"/>
  </w:num>
  <w:num w:numId="22" w16cid:durableId="244730689">
    <w:abstractNumId w:val="8"/>
  </w:num>
  <w:num w:numId="23" w16cid:durableId="598950560">
    <w:abstractNumId w:val="24"/>
  </w:num>
  <w:num w:numId="24" w16cid:durableId="2101873584">
    <w:abstractNumId w:val="12"/>
  </w:num>
  <w:num w:numId="25" w16cid:durableId="2087140410">
    <w:abstractNumId w:val="29"/>
  </w:num>
  <w:num w:numId="26" w16cid:durableId="793332254">
    <w:abstractNumId w:val="11"/>
  </w:num>
  <w:num w:numId="27" w16cid:durableId="452789087">
    <w:abstractNumId w:val="13"/>
  </w:num>
  <w:num w:numId="28" w16cid:durableId="169496457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29779011">
    <w:abstractNumId w:val="44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 w16cid:durableId="5706227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55499499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83930291">
    <w:abstractNumId w:val="19"/>
  </w:num>
  <w:num w:numId="33" w16cid:durableId="1343585166">
    <w:abstractNumId w:val="25"/>
  </w:num>
  <w:num w:numId="34" w16cid:durableId="541985348">
    <w:abstractNumId w:val="40"/>
  </w:num>
  <w:num w:numId="35" w16cid:durableId="1155956205">
    <w:abstractNumId w:val="23"/>
  </w:num>
  <w:num w:numId="36" w16cid:durableId="2122265480">
    <w:abstractNumId w:val="30"/>
  </w:num>
  <w:num w:numId="37" w16cid:durableId="691417998">
    <w:abstractNumId w:val="28"/>
  </w:num>
  <w:num w:numId="38" w16cid:durableId="2083405697">
    <w:abstractNumId w:val="3"/>
  </w:num>
  <w:num w:numId="39" w16cid:durableId="1454327043">
    <w:abstractNumId w:val="39"/>
  </w:num>
  <w:num w:numId="40" w16cid:durableId="311833886">
    <w:abstractNumId w:val="20"/>
  </w:num>
  <w:num w:numId="41" w16cid:durableId="129977855">
    <w:abstractNumId w:val="27"/>
  </w:num>
  <w:num w:numId="42" w16cid:durableId="925724837">
    <w:abstractNumId w:val="35"/>
  </w:num>
  <w:num w:numId="43" w16cid:durableId="2062508959">
    <w:abstractNumId w:val="3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DD9"/>
    <w:rsid w:val="00002984"/>
    <w:rsid w:val="000244E9"/>
    <w:rsid w:val="0004021B"/>
    <w:rsid w:val="000610C9"/>
    <w:rsid w:val="000619DF"/>
    <w:rsid w:val="000801BC"/>
    <w:rsid w:val="000B621A"/>
    <w:rsid w:val="000E6899"/>
    <w:rsid w:val="00104B22"/>
    <w:rsid w:val="00110449"/>
    <w:rsid w:val="0013101F"/>
    <w:rsid w:val="00162159"/>
    <w:rsid w:val="001A2002"/>
    <w:rsid w:val="001E2D03"/>
    <w:rsid w:val="001E4F47"/>
    <w:rsid w:val="001F51BC"/>
    <w:rsid w:val="0020210B"/>
    <w:rsid w:val="002159D6"/>
    <w:rsid w:val="00220B49"/>
    <w:rsid w:val="00225E96"/>
    <w:rsid w:val="00230B3D"/>
    <w:rsid w:val="002317CB"/>
    <w:rsid w:val="00235B86"/>
    <w:rsid w:val="00245909"/>
    <w:rsid w:val="00246D7B"/>
    <w:rsid w:val="00266441"/>
    <w:rsid w:val="00274BF8"/>
    <w:rsid w:val="002767BE"/>
    <w:rsid w:val="00286789"/>
    <w:rsid w:val="00287CDD"/>
    <w:rsid w:val="00292FD6"/>
    <w:rsid w:val="002A6F2D"/>
    <w:rsid w:val="002B11FA"/>
    <w:rsid w:val="002B3AE3"/>
    <w:rsid w:val="002E5F0F"/>
    <w:rsid w:val="002E67F8"/>
    <w:rsid w:val="00300595"/>
    <w:rsid w:val="00305CBC"/>
    <w:rsid w:val="003262D1"/>
    <w:rsid w:val="00332947"/>
    <w:rsid w:val="003523FC"/>
    <w:rsid w:val="0035668C"/>
    <w:rsid w:val="00366E55"/>
    <w:rsid w:val="00382C4E"/>
    <w:rsid w:val="00385BD1"/>
    <w:rsid w:val="003A6EE1"/>
    <w:rsid w:val="003B530C"/>
    <w:rsid w:val="003C0262"/>
    <w:rsid w:val="003C39E0"/>
    <w:rsid w:val="003D2C37"/>
    <w:rsid w:val="003D3CC3"/>
    <w:rsid w:val="003D595F"/>
    <w:rsid w:val="004129B1"/>
    <w:rsid w:val="004136E1"/>
    <w:rsid w:val="00421D3E"/>
    <w:rsid w:val="004250EB"/>
    <w:rsid w:val="00453BE7"/>
    <w:rsid w:val="004857A1"/>
    <w:rsid w:val="0049129F"/>
    <w:rsid w:val="004921EE"/>
    <w:rsid w:val="004A7853"/>
    <w:rsid w:val="004B0F35"/>
    <w:rsid w:val="004F4077"/>
    <w:rsid w:val="00505540"/>
    <w:rsid w:val="00506B87"/>
    <w:rsid w:val="005074A3"/>
    <w:rsid w:val="00507DD9"/>
    <w:rsid w:val="00535ACB"/>
    <w:rsid w:val="00560FE6"/>
    <w:rsid w:val="005943D9"/>
    <w:rsid w:val="00594DD0"/>
    <w:rsid w:val="005A7B0E"/>
    <w:rsid w:val="005C18E0"/>
    <w:rsid w:val="005C3926"/>
    <w:rsid w:val="00603655"/>
    <w:rsid w:val="0061151A"/>
    <w:rsid w:val="00622469"/>
    <w:rsid w:val="006264DF"/>
    <w:rsid w:val="00635DD8"/>
    <w:rsid w:val="00665E9D"/>
    <w:rsid w:val="0066618A"/>
    <w:rsid w:val="006A5AB6"/>
    <w:rsid w:val="006D535E"/>
    <w:rsid w:val="006F5074"/>
    <w:rsid w:val="006F72F5"/>
    <w:rsid w:val="007171B9"/>
    <w:rsid w:val="007267F7"/>
    <w:rsid w:val="00731D96"/>
    <w:rsid w:val="00735525"/>
    <w:rsid w:val="00741A3F"/>
    <w:rsid w:val="0074549A"/>
    <w:rsid w:val="00756C3A"/>
    <w:rsid w:val="007632B2"/>
    <w:rsid w:val="00766FE1"/>
    <w:rsid w:val="00787FEA"/>
    <w:rsid w:val="007A1836"/>
    <w:rsid w:val="007E12CB"/>
    <w:rsid w:val="007F3797"/>
    <w:rsid w:val="008037A5"/>
    <w:rsid w:val="00817233"/>
    <w:rsid w:val="00844FAA"/>
    <w:rsid w:val="0086262D"/>
    <w:rsid w:val="00863CC9"/>
    <w:rsid w:val="00871AD5"/>
    <w:rsid w:val="0087384F"/>
    <w:rsid w:val="008A6FF9"/>
    <w:rsid w:val="008B0FC5"/>
    <w:rsid w:val="008C21BC"/>
    <w:rsid w:val="008D4EAD"/>
    <w:rsid w:val="008F1A50"/>
    <w:rsid w:val="008F1E06"/>
    <w:rsid w:val="008F2F50"/>
    <w:rsid w:val="008F494A"/>
    <w:rsid w:val="00904C0A"/>
    <w:rsid w:val="00910871"/>
    <w:rsid w:val="009116E7"/>
    <w:rsid w:val="00936FB1"/>
    <w:rsid w:val="009770AB"/>
    <w:rsid w:val="009B3BF0"/>
    <w:rsid w:val="009C555D"/>
    <w:rsid w:val="009F48A5"/>
    <w:rsid w:val="009F7A5C"/>
    <w:rsid w:val="00A25E4E"/>
    <w:rsid w:val="00A32DA7"/>
    <w:rsid w:val="00A4653B"/>
    <w:rsid w:val="00A5451E"/>
    <w:rsid w:val="00A57067"/>
    <w:rsid w:val="00A6212B"/>
    <w:rsid w:val="00A6714A"/>
    <w:rsid w:val="00A71A38"/>
    <w:rsid w:val="00A757E9"/>
    <w:rsid w:val="00A801E8"/>
    <w:rsid w:val="00A90A79"/>
    <w:rsid w:val="00AA3885"/>
    <w:rsid w:val="00AB2898"/>
    <w:rsid w:val="00AB3628"/>
    <w:rsid w:val="00AB6E9E"/>
    <w:rsid w:val="00AC106A"/>
    <w:rsid w:val="00AE4A55"/>
    <w:rsid w:val="00AF1286"/>
    <w:rsid w:val="00B27A36"/>
    <w:rsid w:val="00B32F42"/>
    <w:rsid w:val="00B42F0E"/>
    <w:rsid w:val="00B44B8C"/>
    <w:rsid w:val="00B57DC9"/>
    <w:rsid w:val="00B80B09"/>
    <w:rsid w:val="00B814A4"/>
    <w:rsid w:val="00B820CC"/>
    <w:rsid w:val="00B9545A"/>
    <w:rsid w:val="00BB5D7D"/>
    <w:rsid w:val="00BC12AE"/>
    <w:rsid w:val="00BC3326"/>
    <w:rsid w:val="00BD0FFB"/>
    <w:rsid w:val="00BE2484"/>
    <w:rsid w:val="00BE2B0B"/>
    <w:rsid w:val="00C379FA"/>
    <w:rsid w:val="00C555AB"/>
    <w:rsid w:val="00CC0D6E"/>
    <w:rsid w:val="00CC4BED"/>
    <w:rsid w:val="00CD4B3C"/>
    <w:rsid w:val="00CE0578"/>
    <w:rsid w:val="00CE11BC"/>
    <w:rsid w:val="00D14A4E"/>
    <w:rsid w:val="00D2590D"/>
    <w:rsid w:val="00D97B2E"/>
    <w:rsid w:val="00DA7E25"/>
    <w:rsid w:val="00DB6FAA"/>
    <w:rsid w:val="00DC3A52"/>
    <w:rsid w:val="00DE6BF9"/>
    <w:rsid w:val="00DF3013"/>
    <w:rsid w:val="00E5615B"/>
    <w:rsid w:val="00E65E3D"/>
    <w:rsid w:val="00E66813"/>
    <w:rsid w:val="00EA6684"/>
    <w:rsid w:val="00EB16FA"/>
    <w:rsid w:val="00EC4204"/>
    <w:rsid w:val="00ED0C4B"/>
    <w:rsid w:val="00ED450D"/>
    <w:rsid w:val="00ED7FDA"/>
    <w:rsid w:val="00EE0389"/>
    <w:rsid w:val="00EE061E"/>
    <w:rsid w:val="00F12FD5"/>
    <w:rsid w:val="00F14606"/>
    <w:rsid w:val="00F23B0B"/>
    <w:rsid w:val="00F44056"/>
    <w:rsid w:val="00F52C53"/>
    <w:rsid w:val="00F70A8E"/>
    <w:rsid w:val="00F95ADD"/>
    <w:rsid w:val="00FA7338"/>
    <w:rsid w:val="00FB5D9F"/>
    <w:rsid w:val="00FB7267"/>
    <w:rsid w:val="00FC05FF"/>
    <w:rsid w:val="00FC2C1B"/>
    <w:rsid w:val="00FC556E"/>
    <w:rsid w:val="00FD00A1"/>
    <w:rsid w:val="00FF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10676"/>
  <w15:docId w15:val="{FB26EC8C-3CAD-472F-96ED-C3D0DC3E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B8C"/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D535E"/>
    <w:pPr>
      <w:keepNext/>
      <w:keepLines/>
      <w:spacing w:before="480" w:after="120"/>
      <w:outlineLvl w:val="0"/>
    </w:pPr>
    <w:rPr>
      <w:rFonts w:cs="Cambria"/>
      <w:b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535E"/>
    <w:pPr>
      <w:keepNext/>
      <w:keepLines/>
      <w:spacing w:before="360" w:after="80"/>
      <w:outlineLvl w:val="1"/>
    </w:pPr>
    <w:rPr>
      <w:rFonts w:cs="Cambria"/>
      <w:b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535E"/>
    <w:pPr>
      <w:keepNext/>
      <w:keepLines/>
      <w:spacing w:before="200"/>
      <w:outlineLvl w:val="2"/>
    </w:pPr>
    <w:rPr>
      <w:rFonts w:ascii="Calibri" w:eastAsia="Calibri" w:hAnsi="Calibri" w:cs="Calibri"/>
      <w:b/>
      <w:color w:val="5B9BD5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535E"/>
    <w:pPr>
      <w:outlineLvl w:val="3"/>
    </w:pPr>
    <w:rPr>
      <w:rFonts w:ascii="Arimo" w:eastAsia="Arimo" w:hAnsi="Arimo" w:cs="Arimo"/>
      <w:b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535E"/>
    <w:pPr>
      <w:keepNext/>
      <w:keepLines/>
      <w:spacing w:before="220" w:after="40"/>
      <w:outlineLvl w:val="4"/>
    </w:pPr>
    <w:rPr>
      <w:rFonts w:cs="Cambria"/>
      <w:b/>
      <w:sz w:val="22"/>
      <w:szCs w:val="22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535E"/>
    <w:pPr>
      <w:keepNext/>
      <w:keepLines/>
      <w:spacing w:before="200" w:after="40"/>
      <w:outlineLvl w:val="5"/>
    </w:pPr>
    <w:rPr>
      <w:rFonts w:cs="Cambria"/>
      <w:b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6D535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iCs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931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Clara1">
    <w:name w:val="Tabela de Grade Clara1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"/>
      </w:numPr>
    </w:pPr>
  </w:style>
  <w:style w:type="character" w:styleId="Hyperlink">
    <w:name w:val="Hyperlink"/>
    <w:unhideWhenUsed/>
    <w:rsid w:val="00287CDD"/>
    <w:rPr>
      <w:color w:val="0000FF"/>
      <w:u w:val="single"/>
    </w:rPr>
  </w:style>
  <w:style w:type="paragraph" w:customStyle="1" w:styleId="Textopadro">
    <w:name w:val="Texto padrão"/>
    <w:basedOn w:val="Normal"/>
    <w:rsid w:val="00287CDD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D535E"/>
    <w:rPr>
      <w:rFonts w:ascii="Cambria" w:eastAsia="Cambria" w:hAnsi="Cambria" w:cs="Cambria"/>
      <w:b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535E"/>
    <w:rPr>
      <w:rFonts w:ascii="Cambria" w:eastAsia="Cambria" w:hAnsi="Cambria" w:cs="Cambria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535E"/>
    <w:rPr>
      <w:rFonts w:ascii="Calibri" w:eastAsia="Calibri" w:hAnsi="Calibri" w:cs="Calibri"/>
      <w:b/>
      <w:color w:val="5B9BD5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535E"/>
    <w:rPr>
      <w:rFonts w:ascii="Arimo" w:eastAsia="Arimo" w:hAnsi="Arimo" w:cs="Arimo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535E"/>
    <w:rPr>
      <w:rFonts w:ascii="Cambria" w:eastAsia="Cambria" w:hAnsi="Cambria" w:cs="Cambria"/>
      <w:b/>
      <w:sz w:val="22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535E"/>
    <w:rPr>
      <w:rFonts w:ascii="Cambria" w:eastAsia="Cambria" w:hAnsi="Cambria" w:cs="Cambria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6D535E"/>
    <w:rPr>
      <w:rFonts w:asciiTheme="majorHAnsi" w:eastAsiaTheme="majorEastAsia" w:hAnsiTheme="majorHAnsi" w:cstheme="majorBidi"/>
      <w:b/>
      <w:iCs/>
      <w:sz w:val="22"/>
      <w:szCs w:val="24"/>
      <w:lang w:eastAsia="pt-BR"/>
    </w:rPr>
  </w:style>
  <w:style w:type="table" w:customStyle="1" w:styleId="TableNormal">
    <w:name w:val="Table Normal"/>
    <w:uiPriority w:val="2"/>
    <w:qFormat/>
    <w:rsid w:val="006D535E"/>
    <w:rPr>
      <w:rFonts w:ascii="Cambria" w:eastAsia="Cambria" w:hAnsi="Cambria" w:cs="Cambria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rsid w:val="006D53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6D535E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D535E"/>
    <w:rPr>
      <w:rFonts w:cs="Cambri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D535E"/>
    <w:rPr>
      <w:rFonts w:ascii="Cambria" w:eastAsia="Cambria" w:hAnsi="Cambria" w:cs="Cambria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D535E"/>
    <w:rPr>
      <w:sz w:val="16"/>
      <w:szCs w:val="16"/>
    </w:rPr>
  </w:style>
  <w:style w:type="paragraph" w:styleId="Reviso">
    <w:name w:val="Revision"/>
    <w:hidden/>
    <w:uiPriority w:val="99"/>
    <w:semiHidden/>
    <w:rsid w:val="006D535E"/>
    <w:rPr>
      <w:rFonts w:ascii="Cambria" w:eastAsia="Cambria" w:hAnsi="Cambria" w:cs="Cambria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D53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D535E"/>
    <w:rPr>
      <w:rFonts w:ascii="Cambria" w:eastAsia="Cambria" w:hAnsi="Cambria" w:cs="Cambria"/>
      <w:b/>
      <w:bCs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6D535E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6D535E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Sumrio-Captulo">
    <w:name w:val="Sumário-Capítulo"/>
    <w:basedOn w:val="Normal"/>
    <w:link w:val="Sumrio-CaptuloChar"/>
    <w:qFormat/>
    <w:rsid w:val="006D535E"/>
    <w:pPr>
      <w:pBdr>
        <w:top w:val="nil"/>
        <w:left w:val="nil"/>
        <w:bottom w:val="nil"/>
        <w:right w:val="nil"/>
        <w:between w:val="nil"/>
      </w:pBdr>
      <w:tabs>
        <w:tab w:val="left" w:pos="567"/>
        <w:tab w:val="left" w:pos="851"/>
        <w:tab w:val="left" w:pos="1701"/>
        <w:tab w:val="left" w:pos="9632"/>
      </w:tabs>
      <w:jc w:val="center"/>
    </w:pPr>
    <w:rPr>
      <w:rFonts w:asciiTheme="majorHAnsi" w:eastAsia="Calibri" w:hAnsiTheme="majorHAnsi" w:cstheme="majorHAnsi"/>
      <w:b/>
      <w:caps/>
      <w:color w:val="000000"/>
      <w:sz w:val="22"/>
      <w:szCs w:val="22"/>
      <w:lang w:eastAsia="pt-BR"/>
    </w:rPr>
  </w:style>
  <w:style w:type="character" w:customStyle="1" w:styleId="Sumrio-CaptuloChar">
    <w:name w:val="Sumário-Capítulo Char"/>
    <w:basedOn w:val="Fontepargpadro"/>
    <w:link w:val="Sumrio-Captulo"/>
    <w:rsid w:val="006D535E"/>
    <w:rPr>
      <w:rFonts w:asciiTheme="majorHAnsi" w:eastAsia="Calibri" w:hAnsiTheme="majorHAnsi" w:cstheme="majorHAnsi"/>
      <w:b/>
      <w:caps/>
      <w:color w:val="000000"/>
      <w:sz w:val="22"/>
      <w:lang w:eastAsia="pt-BR"/>
    </w:rPr>
  </w:style>
  <w:style w:type="paragraph" w:styleId="Sumrio1">
    <w:name w:val="toc 1"/>
    <w:aliases w:val="Sumário da PN-CAU/RS nº AAA/2022"/>
    <w:basedOn w:val="Normal"/>
    <w:next w:val="Normal"/>
    <w:autoRedefine/>
    <w:uiPriority w:val="39"/>
    <w:unhideWhenUsed/>
    <w:qFormat/>
    <w:rsid w:val="006D535E"/>
    <w:pPr>
      <w:spacing w:after="100"/>
      <w:jc w:val="both"/>
    </w:pPr>
    <w:rPr>
      <w:rFonts w:ascii="Calibri" w:hAnsi="Calibri" w:cs="Cambria"/>
      <w:sz w:val="2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6D535E"/>
    <w:pPr>
      <w:spacing w:after="100"/>
      <w:ind w:left="240"/>
    </w:pPr>
    <w:rPr>
      <w:rFonts w:cs="Cambria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6D535E"/>
    <w:pPr>
      <w:tabs>
        <w:tab w:val="right" w:leader="dot" w:pos="9344"/>
      </w:tabs>
      <w:spacing w:before="120" w:after="120"/>
      <w:ind w:left="480"/>
    </w:pPr>
    <w:rPr>
      <w:rFonts w:asciiTheme="majorHAnsi" w:hAnsiTheme="majorHAnsi" w:cstheme="majorHAnsi"/>
      <w:noProof/>
      <w:lang w:eastAsia="pt-BR"/>
    </w:rPr>
  </w:style>
  <w:style w:type="paragraph" w:customStyle="1" w:styleId="padro">
    <w:name w:val="padro"/>
    <w:basedOn w:val="Normal"/>
    <w:rsid w:val="006D535E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D535E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7F3797"/>
    <w:pPr>
      <w:widowControl w:val="0"/>
      <w:autoSpaceDE w:val="0"/>
      <w:autoSpaceDN w:val="0"/>
      <w:ind w:left="103"/>
    </w:pPr>
    <w:rPr>
      <w:rFonts w:ascii="Times New Roman" w:eastAsia="Times New Roman" w:hAnsi="Times New Roman"/>
      <w:sz w:val="22"/>
      <w:szCs w:val="22"/>
      <w:lang w:val="en-US"/>
    </w:rPr>
  </w:style>
  <w:style w:type="character" w:customStyle="1" w:styleId="contentpasted1">
    <w:name w:val="contentpasted1"/>
    <w:basedOn w:val="Fontepargpadro"/>
    <w:rsid w:val="00CC0D6E"/>
  </w:style>
  <w:style w:type="character" w:styleId="MenoPendente">
    <w:name w:val="Unresolved Mention"/>
    <w:basedOn w:val="Fontepargpadro"/>
    <w:uiPriority w:val="99"/>
    <w:semiHidden/>
    <w:unhideWhenUsed/>
    <w:rsid w:val="007171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1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626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1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287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9339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urs.gov.br/wp-content/uploads/2023/06/PRES-PN-011-2023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C83AA316DD0A46A3C0C24FD8AE4827" ma:contentTypeVersion="7" ma:contentTypeDescription="Crie um novo documento." ma:contentTypeScope="" ma:versionID="a75b0c381421745b44d12648dcd76b36">
  <xsd:schema xmlns:xsd="http://www.w3.org/2001/XMLSchema" xmlns:xs="http://www.w3.org/2001/XMLSchema" xmlns:p="http://schemas.microsoft.com/office/2006/metadata/properties" xmlns:ns2="35eca55d-d593-4a8f-a07e-614ad40d8914" xmlns:ns3="8cd65e9b-eeec-4bab-9c47-3f424301a74a" targetNamespace="http://schemas.microsoft.com/office/2006/metadata/properties" ma:root="true" ma:fieldsID="5082f9a7449d3d4e2bc9dd6894745e95" ns2:_="" ns3:_="">
    <xsd:import namespace="35eca55d-d593-4a8f-a07e-614ad40d8914"/>
    <xsd:import namespace="8cd65e9b-eeec-4bab-9c47-3f424301a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ca55d-d593-4a8f-a07e-614ad40d8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65e9b-eeec-4bab-9c47-3f424301a74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5E3473-2DC3-4E91-A290-D782F56C7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ca55d-d593-4a8f-a07e-614ad40d8914"/>
    <ds:schemaRef ds:uri="8cd65e9b-eeec-4bab-9c47-3f424301a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0BE51A-B4FE-4A90-AF4A-DA01BFA92766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8cd65e9b-eeec-4bab-9c47-3f424301a74a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5eca55d-d593-4a8f-a07e-614ad40d8914"/>
  </ds:schemaRefs>
</ds:datastoreItem>
</file>

<file path=customXml/itemProps3.xml><?xml version="1.0" encoding="utf-8"?>
<ds:datastoreItem xmlns:ds="http://schemas.openxmlformats.org/officeDocument/2006/customXml" ds:itemID="{6EE054DA-26FD-4901-96A7-498776FAB2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4E4DD7-A6FA-4337-9A0F-FCA45486D0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1600</Words>
  <Characters>8640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Mônica dos Santos Marques</cp:lastModifiedBy>
  <cp:revision>2</cp:revision>
  <cp:lastPrinted>2023-03-13T18:49:00Z</cp:lastPrinted>
  <dcterms:created xsi:type="dcterms:W3CDTF">2023-08-07T19:39:00Z</dcterms:created>
  <dcterms:modified xsi:type="dcterms:W3CDTF">2023-08-07T19:39:00Z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0x010100B3C83AA316DD0A46A3C0C24FD8AE4827</vt:lpwstr>
  </property>
</Properties>
</file>