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FDD2" w14:textId="77777777" w:rsidR="005B17A8" w:rsidRDefault="005B1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6"/>
        <w:gridCol w:w="7101"/>
      </w:tblGrid>
      <w:tr w:rsidR="005B17A8" w14:paraId="7B0B64B9" w14:textId="77777777">
        <w:trPr>
          <w:trHeight w:val="360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13D44206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PROTOCOLO</w:t>
            </w:r>
          </w:p>
        </w:tc>
        <w:tc>
          <w:tcPr>
            <w:tcW w:w="71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F5A6C3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1729727/2023</w:t>
            </w:r>
          </w:p>
        </w:tc>
      </w:tr>
      <w:tr w:rsidR="005B17A8" w14:paraId="2A70FA06" w14:textId="77777777">
        <w:trPr>
          <w:trHeight w:val="600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7F23FDE5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1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D04197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DO TÍTULO COMPLEMENTAR DE ARQUITETO E URBANISTA COM ESPECIALIZAÇÃO EM ENGENHARIA DE SEGURANÇA DO TRABALHO.</w:t>
            </w:r>
          </w:p>
        </w:tc>
      </w:tr>
      <w:tr w:rsidR="005B17A8" w14:paraId="3A00C4EE" w14:textId="77777777">
        <w:trPr>
          <w:trHeight w:val="312"/>
        </w:trPr>
        <w:tc>
          <w:tcPr>
            <w:tcW w:w="889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4B348C8C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RELATÓRIO CRONOLÓGICO</w:t>
            </w:r>
          </w:p>
        </w:tc>
      </w:tr>
    </w:tbl>
    <w:p w14:paraId="4A8FB1C8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5A41EE6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presente trata da análise da solicitação de registro de título complementar de arquiteto e urbanista com especialização em engenharia de segurança do trabalho protocolada no SICCAU sob o nº 1729727/2023, no dia 24/03/2023.</w:t>
      </w:r>
    </w:p>
    <w:p w14:paraId="04421DD9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777FBB76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 13/04/2023, foram anexadas </w:t>
      </w:r>
      <w:r>
        <w:rPr>
          <w:rFonts w:ascii="Calibri" w:eastAsia="Calibri" w:hAnsi="Calibri" w:cs="Calibri"/>
          <w:sz w:val="22"/>
          <w:szCs w:val="22"/>
        </w:rPr>
        <w:t>3 Declarações atestando a Conclusão e Veracidade de Curso de Pós-Graduação Lato Sensu, em nível de Especialização, intitulado Engenharia de Segurança do Trabalho, e seu respectivo Histórico, com carga horária de 600 horas.</w:t>
      </w:r>
    </w:p>
    <w:p w14:paraId="7A478F75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657636E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 20/04/2022 o setor de Pessoa </w:t>
      </w:r>
      <w:r>
        <w:rPr>
          <w:rFonts w:ascii="Calibri" w:eastAsia="Calibri" w:hAnsi="Calibri" w:cs="Calibri"/>
          <w:sz w:val="22"/>
          <w:szCs w:val="22"/>
        </w:rPr>
        <w:t>Física do CAU/RS anexou a Declaração de confirmação de horas práticas realizadas, totalizando 60h.</w:t>
      </w:r>
    </w:p>
    <w:p w14:paraId="018E4A68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AC92A48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 20/04/2022 o setor de Pessoa Física do CAU/RS anexou o Certificado de Conclusão de Curso pela Faculdade Única de Ipatinga (FUNIP), grupo </w:t>
      </w:r>
      <w:proofErr w:type="spellStart"/>
      <w:r>
        <w:rPr>
          <w:rFonts w:ascii="Calibri" w:eastAsia="Calibri" w:hAnsi="Calibri" w:cs="Calibri"/>
          <w:sz w:val="22"/>
          <w:szCs w:val="22"/>
        </w:rPr>
        <w:t>Prominas</w:t>
      </w:r>
      <w:proofErr w:type="spellEnd"/>
      <w:r>
        <w:rPr>
          <w:rFonts w:ascii="Calibri" w:eastAsia="Calibri" w:hAnsi="Calibri" w:cs="Calibri"/>
          <w:sz w:val="22"/>
          <w:szCs w:val="22"/>
        </w:rPr>
        <w:t>, totalizando 600h, e tempo de integralização realizado no período de 22/03/2022 a 24/03/2023.</w:t>
      </w:r>
    </w:p>
    <w:p w14:paraId="2267F655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961E895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 27/04/202</w:t>
      </w:r>
      <w:r>
        <w:rPr>
          <w:rFonts w:ascii="Calibri" w:eastAsia="Calibri" w:hAnsi="Calibri" w:cs="Calibri"/>
          <w:sz w:val="22"/>
          <w:szCs w:val="22"/>
        </w:rPr>
        <w:t xml:space="preserve">2 o setor de Pessoa Física do CAU/RS anexou a PORTARIA MEC Nº 1.004/2017, publicada em 18/08/2017, de credenciamento da IES para oferta de cursos superiores na modalidade a distância pelo prazo de 4 (quatro) anos, isto é, o período de validade encerrou-se </w:t>
      </w:r>
      <w:r>
        <w:rPr>
          <w:rFonts w:ascii="Calibri" w:eastAsia="Calibri" w:hAnsi="Calibri" w:cs="Calibri"/>
          <w:sz w:val="22"/>
          <w:szCs w:val="22"/>
        </w:rPr>
        <w:t>em 18/08/2021.</w:t>
      </w:r>
    </w:p>
    <w:p w14:paraId="0C245D78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A22870E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 mesmo dia o setor de Pessoa Física do CAU/RS anexou a Portaria SERES/MEC n. 698 publicada em 09/07/2021 que instaura procedimento sancionador, com medidas cautelares, pelo prazo da 1 (um) ano, perante a (15450) Faculdade Única de Ipating</w:t>
      </w:r>
      <w:r>
        <w:rPr>
          <w:rFonts w:ascii="Calibri" w:eastAsia="Calibri" w:hAnsi="Calibri" w:cs="Calibri"/>
          <w:sz w:val="22"/>
          <w:szCs w:val="22"/>
        </w:rPr>
        <w:t>a – FUNIP e outras IES, nos termos do Decreto 9235/2017:</w:t>
      </w:r>
    </w:p>
    <w:p w14:paraId="49A40258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3FAD724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(...)</w:t>
      </w:r>
    </w:p>
    <w:p w14:paraId="391C4C81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IV - </w:t>
      </w:r>
      <w:proofErr w:type="gramStart"/>
      <w:r>
        <w:rPr>
          <w:rFonts w:ascii="Calibri" w:eastAsia="Calibri" w:hAnsi="Calibri" w:cs="Calibri"/>
          <w:sz w:val="20"/>
          <w:szCs w:val="20"/>
        </w:rPr>
        <w:t>sobrestamento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de processos regulatórios da oferta </w:t>
      </w:r>
      <w:proofErr w:type="spellStart"/>
      <w:r>
        <w:rPr>
          <w:rFonts w:ascii="Calibri" w:eastAsia="Calibri" w:hAnsi="Calibri" w:cs="Calibri"/>
          <w:sz w:val="20"/>
          <w:szCs w:val="20"/>
        </w:rPr>
        <w:t>EaD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que a FUNIP ou as demais mantidas da mesma mantenedora tenham protocolado;</w:t>
      </w:r>
    </w:p>
    <w:p w14:paraId="0DAFD532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 - </w:t>
      </w:r>
      <w:proofErr w:type="gramStart"/>
      <w:r>
        <w:rPr>
          <w:rFonts w:ascii="Calibri" w:eastAsia="Calibri" w:hAnsi="Calibri" w:cs="Calibri"/>
          <w:sz w:val="20"/>
          <w:szCs w:val="20"/>
        </w:rPr>
        <w:t>sobrestamento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de processos regulatórios da oferta </w:t>
      </w:r>
      <w:proofErr w:type="spellStart"/>
      <w:r>
        <w:rPr>
          <w:rFonts w:ascii="Calibri" w:eastAsia="Calibri" w:hAnsi="Calibri" w:cs="Calibri"/>
          <w:sz w:val="20"/>
          <w:szCs w:val="20"/>
        </w:rPr>
        <w:t>EaD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que a Faculdade </w:t>
      </w:r>
      <w:proofErr w:type="spellStart"/>
      <w:r>
        <w:rPr>
          <w:rFonts w:ascii="Calibri" w:eastAsia="Calibri" w:hAnsi="Calibri" w:cs="Calibri"/>
          <w:sz w:val="20"/>
          <w:szCs w:val="20"/>
        </w:rPr>
        <w:t>Prominas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Montes Claros ou as demais mantidas da mesma mantenedora tenham protocolado;</w:t>
      </w:r>
    </w:p>
    <w:p w14:paraId="2D929AF5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(...)</w:t>
      </w:r>
    </w:p>
    <w:p w14:paraId="6C4F80E4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VII - suspensão da prerrogativa de criação de novos polos </w:t>
      </w:r>
      <w:proofErr w:type="spellStart"/>
      <w:r>
        <w:rPr>
          <w:rFonts w:ascii="Calibri" w:eastAsia="Calibri" w:hAnsi="Calibri" w:cs="Calibri"/>
          <w:sz w:val="20"/>
          <w:szCs w:val="20"/>
        </w:rPr>
        <w:t>EaD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pela FUNIP;</w:t>
      </w:r>
    </w:p>
    <w:p w14:paraId="4110AD81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VIII - suspensão da prerrogativa de criação de novos polos </w:t>
      </w:r>
      <w:proofErr w:type="spellStart"/>
      <w:r>
        <w:rPr>
          <w:rFonts w:ascii="Calibri" w:eastAsia="Calibri" w:hAnsi="Calibri" w:cs="Calibri"/>
          <w:sz w:val="20"/>
          <w:szCs w:val="20"/>
        </w:rPr>
        <w:t>EaD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pela Fac</w:t>
      </w:r>
      <w:r>
        <w:rPr>
          <w:rFonts w:ascii="Calibri" w:eastAsia="Calibri" w:hAnsi="Calibri" w:cs="Calibri"/>
          <w:sz w:val="20"/>
          <w:szCs w:val="20"/>
        </w:rPr>
        <w:t xml:space="preserve">uldade </w:t>
      </w:r>
      <w:proofErr w:type="spellStart"/>
      <w:r>
        <w:rPr>
          <w:rFonts w:ascii="Calibri" w:eastAsia="Calibri" w:hAnsi="Calibri" w:cs="Calibri"/>
          <w:sz w:val="20"/>
          <w:szCs w:val="20"/>
        </w:rPr>
        <w:t>Prominas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Montes Claros;</w:t>
      </w:r>
    </w:p>
    <w:p w14:paraId="37DCFF50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(...)</w:t>
      </w:r>
    </w:p>
    <w:p w14:paraId="343B648C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X - </w:t>
      </w:r>
      <w:proofErr w:type="gramStart"/>
      <w:r>
        <w:rPr>
          <w:rFonts w:ascii="Calibri" w:eastAsia="Calibri" w:hAnsi="Calibri" w:cs="Calibri"/>
          <w:sz w:val="20"/>
          <w:szCs w:val="20"/>
        </w:rPr>
        <w:t>impedimento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de protocolização de novos processos regulatórios pela FUNIP, pela Faculdade </w:t>
      </w:r>
      <w:proofErr w:type="spellStart"/>
      <w:r>
        <w:rPr>
          <w:rFonts w:ascii="Calibri" w:eastAsia="Calibri" w:hAnsi="Calibri" w:cs="Calibri"/>
          <w:sz w:val="20"/>
          <w:szCs w:val="20"/>
        </w:rPr>
        <w:t>Prominas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Montes Claros e pelo ISEIB;</w:t>
      </w:r>
    </w:p>
    <w:p w14:paraId="658D2972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(...)</w:t>
      </w:r>
    </w:p>
    <w:p w14:paraId="737BEB67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XVI - impedimento de oferta de novas turmas do curso de pós-graduação lato sensu em Engenharia de Segurança do Trabalho da UCAM, ou quaisquer cursos objetos da parceria com o Grupo PROMINAS;</w:t>
      </w:r>
    </w:p>
    <w:p w14:paraId="7402CB52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(...)</w:t>
      </w:r>
    </w:p>
    <w:p w14:paraId="2A3F0133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Art. 3º Notificar e intimar a Faculdade Única de </w:t>
      </w:r>
      <w:proofErr w:type="spellStart"/>
      <w:r>
        <w:rPr>
          <w:rFonts w:ascii="Calibri" w:eastAsia="Calibri" w:hAnsi="Calibri" w:cs="Calibri"/>
          <w:sz w:val="20"/>
          <w:szCs w:val="20"/>
        </w:rPr>
        <w:t>ipatinga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-</w:t>
      </w:r>
      <w:r>
        <w:rPr>
          <w:rFonts w:ascii="Calibri" w:eastAsia="Calibri" w:hAnsi="Calibri" w:cs="Calibri"/>
          <w:sz w:val="20"/>
          <w:szCs w:val="20"/>
        </w:rPr>
        <w:t xml:space="preserve"> FUNIP (cód. </w:t>
      </w:r>
      <w:proofErr w:type="spellStart"/>
      <w:r>
        <w:rPr>
          <w:rFonts w:ascii="Calibri" w:eastAsia="Calibri" w:hAnsi="Calibri" w:cs="Calibri"/>
          <w:sz w:val="20"/>
          <w:szCs w:val="20"/>
        </w:rPr>
        <w:t>e-MEC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nº 15450); a Faculdade </w:t>
      </w:r>
      <w:proofErr w:type="spellStart"/>
      <w:r>
        <w:rPr>
          <w:rFonts w:ascii="Calibri" w:eastAsia="Calibri" w:hAnsi="Calibri" w:cs="Calibri"/>
          <w:sz w:val="20"/>
          <w:szCs w:val="20"/>
        </w:rPr>
        <w:t>Prominas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Montes Claros - PROMINAS (cód. </w:t>
      </w:r>
      <w:proofErr w:type="spellStart"/>
      <w:r>
        <w:rPr>
          <w:rFonts w:ascii="Calibri" w:eastAsia="Calibri" w:hAnsi="Calibri" w:cs="Calibri"/>
          <w:sz w:val="20"/>
          <w:szCs w:val="20"/>
        </w:rPr>
        <w:t>e-MEC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nº 4821); (...), para a apresentação de defesa, no prazo de 15 (quinze) dias, nos termos do parágrafo único, do art. 71, do Decreto nº 9.235/2017; e para a apresenta</w:t>
      </w:r>
      <w:r>
        <w:rPr>
          <w:rFonts w:ascii="Calibri" w:eastAsia="Calibri" w:hAnsi="Calibri" w:cs="Calibri"/>
          <w:sz w:val="20"/>
          <w:szCs w:val="20"/>
        </w:rPr>
        <w:t>ção de recurso no prazo de 30 (trinta) dias, nos termos do art. 63, § 2º, do Decreto nº 9.235/2017.</w:t>
      </w:r>
    </w:p>
    <w:p w14:paraId="4E1DD778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9DFFD8B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Através da ficha de análise, o Setor de Pessoa Física observou que “a PORTARIA Nº 698, DE 7 DE JULHO DE 2021, anexada ao protocolo 1729727/2023, referente à abertura de processo sancionador à FUNIP, foi publicada em data </w:t>
      </w:r>
      <w:r>
        <w:rPr>
          <w:rFonts w:ascii="Calibri" w:eastAsia="Calibri" w:hAnsi="Calibri" w:cs="Calibri"/>
          <w:b/>
          <w:sz w:val="22"/>
          <w:szCs w:val="22"/>
        </w:rPr>
        <w:t>anterior</w:t>
      </w:r>
      <w:r>
        <w:rPr>
          <w:rFonts w:ascii="Calibri" w:eastAsia="Calibri" w:hAnsi="Calibri" w:cs="Calibri"/>
          <w:sz w:val="22"/>
          <w:szCs w:val="22"/>
        </w:rPr>
        <w:t xml:space="preserve"> à conclusão do curso pelo </w:t>
      </w:r>
      <w:r>
        <w:rPr>
          <w:rFonts w:ascii="Calibri" w:eastAsia="Calibri" w:hAnsi="Calibri" w:cs="Calibri"/>
          <w:sz w:val="22"/>
          <w:szCs w:val="22"/>
        </w:rPr>
        <w:t>egresso”.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510EAD5D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B1DA9E5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Ainda em 27/04/2023 o setor de Pessoa Física do CAU/RS anexou a PORTARIA MEC Nº 206/2016, publicada em 11/04/2016, de recredenciamento da geral IES pelo prazo de 3 (três) anos, isto é, o período de validade encerrou-se em 11/04/2019.</w:t>
      </w:r>
    </w:p>
    <w:p w14:paraId="7C0B7940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F377BE4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 13/06/</w:t>
      </w:r>
      <w:r>
        <w:rPr>
          <w:rFonts w:ascii="Calibri" w:eastAsia="Calibri" w:hAnsi="Calibri" w:cs="Calibri"/>
          <w:sz w:val="22"/>
          <w:szCs w:val="22"/>
        </w:rPr>
        <w:t>2023 já tramitado para a CEF-CAU/RS, foi designado um relator para analisar a matéria no âmbito da comissão.</w:t>
      </w:r>
    </w:p>
    <w:p w14:paraId="6E98CC8A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6EBCDDB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 20/06/2023 a Assessoria da CEF-CAU/RS anexa ao protocolo Nota de Esclarecimento da FUNIP, emitida em 08/05/2023:</w:t>
      </w:r>
    </w:p>
    <w:p w14:paraId="4F4530FC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C751914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Em relação à Portaria nº 698,</w:t>
      </w:r>
      <w:r>
        <w:rPr>
          <w:rFonts w:ascii="Calibri" w:eastAsia="Calibri" w:hAnsi="Calibri" w:cs="Calibri"/>
          <w:sz w:val="20"/>
          <w:szCs w:val="20"/>
        </w:rPr>
        <w:t xml:space="preserve"> de 07 de julho de 2021, a Faculdade Única de Ipatinga vem por meio desta esclarecer e informar o que segue abaixo:</w:t>
      </w:r>
    </w:p>
    <w:p w14:paraId="234FCC77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 As restrições aplicadas por meio da Portaria nº 698, de 07 de julho de 2021 são, em sua maioria, em face da Universidade Candido Mendes (</w:t>
      </w:r>
      <w:r>
        <w:rPr>
          <w:rFonts w:ascii="Calibri" w:eastAsia="Calibri" w:hAnsi="Calibri" w:cs="Calibri"/>
          <w:sz w:val="20"/>
          <w:szCs w:val="20"/>
        </w:rPr>
        <w:t>UCAM).</w:t>
      </w:r>
    </w:p>
    <w:p w14:paraId="4763AD8C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 A Faculdade Única de Ipatinga não possui mais quaisquer tipos de parcerias e/ou convênios com a Universidade Candido Mendes (UCAM).</w:t>
      </w:r>
    </w:p>
    <w:p w14:paraId="5605B62A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 As principais restrições aplicadas por meio da Portaria nº 698, de 07 de julho de 2021 são, exclusivamente, em </w:t>
      </w:r>
      <w:r>
        <w:rPr>
          <w:rFonts w:ascii="Calibri" w:eastAsia="Calibri" w:hAnsi="Calibri" w:cs="Calibri"/>
          <w:sz w:val="20"/>
          <w:szCs w:val="20"/>
        </w:rPr>
        <w:t>face do polo de apoio presencial localizado na Avenida Acesita, nº 655, bairro Olaria, na cidade de Timóteo-MG, CEP 35180-207.</w:t>
      </w:r>
    </w:p>
    <w:p w14:paraId="342A4F16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 É do conhecimento de todos, inclusive dos órgãos competentes, sendo uma informação pública constante do Sistema </w:t>
      </w:r>
      <w:proofErr w:type="spellStart"/>
      <w:r>
        <w:rPr>
          <w:rFonts w:ascii="Calibri" w:eastAsia="Calibri" w:hAnsi="Calibri" w:cs="Calibri"/>
          <w:sz w:val="20"/>
          <w:szCs w:val="20"/>
        </w:rPr>
        <w:t>e-MEC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que, a A</w:t>
      </w:r>
      <w:r>
        <w:rPr>
          <w:rFonts w:ascii="Calibri" w:eastAsia="Calibri" w:hAnsi="Calibri" w:cs="Calibri"/>
          <w:sz w:val="20"/>
          <w:szCs w:val="20"/>
        </w:rPr>
        <w:t xml:space="preserve">venida Acesita, nº 655, bairro Olaria, na cidade de Timóteo-MG, CEP 35180-207 é a sede da Faculdade Única de Timóteo (FUNIT), da Faculdade Acesita (FACESITA) e funciona também como polo de apoio presencial dos cursos superiores ministrados na modalidade a </w:t>
      </w:r>
      <w:r>
        <w:rPr>
          <w:rFonts w:ascii="Calibri" w:eastAsia="Calibri" w:hAnsi="Calibri" w:cs="Calibri"/>
          <w:sz w:val="20"/>
          <w:szCs w:val="20"/>
        </w:rPr>
        <w:t xml:space="preserve">distância pela Faculdade Única de Ipatinga (FUNIP) e pela Faculdade </w:t>
      </w:r>
      <w:proofErr w:type="spellStart"/>
      <w:r>
        <w:rPr>
          <w:rFonts w:ascii="Calibri" w:eastAsia="Calibri" w:hAnsi="Calibri" w:cs="Calibri"/>
          <w:sz w:val="20"/>
          <w:szCs w:val="20"/>
        </w:rPr>
        <w:t>Prominas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Montes Claros. Tal situação não possui quaisquer impedimentos segundo a legislação educacional em vigor, que permite que o mesmo imóvel seja compartilhado por diversas Institui</w:t>
      </w:r>
      <w:r>
        <w:rPr>
          <w:rFonts w:ascii="Calibri" w:eastAsia="Calibri" w:hAnsi="Calibri" w:cs="Calibri"/>
          <w:sz w:val="20"/>
          <w:szCs w:val="20"/>
        </w:rPr>
        <w:t>ções de Ensino Superior (IES), bem como funcione como polo de apoio presencial para cursos ministrados na modalidade a distância.</w:t>
      </w:r>
    </w:p>
    <w:p w14:paraId="5628D310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5. A Faculdade Única de Ipatinga já está tomando todas as providências legais cabíveis para o esclarecimento, junto aos órgãos</w:t>
      </w:r>
      <w:r>
        <w:rPr>
          <w:rFonts w:ascii="Calibri" w:eastAsia="Calibri" w:hAnsi="Calibri" w:cs="Calibri"/>
          <w:sz w:val="20"/>
          <w:szCs w:val="20"/>
        </w:rPr>
        <w:t xml:space="preserve"> competentes, dos equívocos apontados na Portaria nº 698, de 07 de julho de 2021.</w:t>
      </w:r>
    </w:p>
    <w:p w14:paraId="7735DF01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6. Os cursos superiores na modalidade a distância (graduação e pós-graduação lato sensu) continuam a ser ministrados, normalmente e sem quaisquer alterações pelas IES.</w:t>
      </w:r>
    </w:p>
    <w:p w14:paraId="68B93387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7. A F</w:t>
      </w:r>
      <w:r>
        <w:rPr>
          <w:rFonts w:ascii="Calibri" w:eastAsia="Calibri" w:hAnsi="Calibri" w:cs="Calibri"/>
          <w:sz w:val="20"/>
          <w:szCs w:val="20"/>
        </w:rPr>
        <w:t>aculdade Única de Ipatinga reitera o seu compromisso com o oferecimento de uma educação de qualidade e de forma acessível para todos, por acreditar que a educação é a forma mais digna de ascensão social e econômica, bem como promotora da independência de u</w:t>
      </w:r>
      <w:r>
        <w:rPr>
          <w:rFonts w:ascii="Calibri" w:eastAsia="Calibri" w:hAnsi="Calibri" w:cs="Calibri"/>
          <w:sz w:val="20"/>
          <w:szCs w:val="20"/>
        </w:rPr>
        <w:t>m povo e, consequentemente, de uma nação.</w:t>
      </w:r>
    </w:p>
    <w:p w14:paraId="23FAC026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5AA402D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 20/06/2023 a Assessoria da CEF-CAU/RS anexa ao protocolo manifestação do MEC apresentada através do canal “</w:t>
      </w:r>
      <w:proofErr w:type="spellStart"/>
      <w:r>
        <w:rPr>
          <w:rFonts w:ascii="Calibri" w:eastAsia="Calibri" w:hAnsi="Calibri" w:cs="Calibri"/>
          <w:sz w:val="22"/>
          <w:szCs w:val="22"/>
        </w:rPr>
        <w:t>FalaBR</w:t>
      </w:r>
      <w:proofErr w:type="spellEnd"/>
      <w:r>
        <w:rPr>
          <w:rFonts w:ascii="Calibri" w:eastAsia="Calibri" w:hAnsi="Calibri" w:cs="Calibri"/>
          <w:sz w:val="22"/>
          <w:szCs w:val="22"/>
        </w:rPr>
        <w:t>” em 22/06/2023, a respeito da PORTARIA Nº 698/ 2021:</w:t>
      </w:r>
    </w:p>
    <w:p w14:paraId="4F6CFE66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3687928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“A Coordenação-</w:t>
      </w:r>
      <w:proofErr w:type="spellStart"/>
      <w:r>
        <w:rPr>
          <w:rFonts w:ascii="Calibri" w:eastAsia="Calibri" w:hAnsi="Calibri" w:cs="Calibri"/>
          <w:sz w:val="20"/>
          <w:szCs w:val="20"/>
        </w:rPr>
        <w:t>Greal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Supervisão da Educação Superior (CGSO/DISUP/SERES) informa qu</w:t>
      </w:r>
      <w:r>
        <w:rPr>
          <w:rFonts w:ascii="Calibri" w:eastAsia="Calibri" w:hAnsi="Calibri" w:cs="Calibri"/>
          <w:sz w:val="20"/>
          <w:szCs w:val="20"/>
        </w:rPr>
        <w:t>e as medidas cautelares impostas à Faculdade Única de Ipatinga (</w:t>
      </w:r>
      <w:proofErr w:type="spellStart"/>
      <w:r>
        <w:rPr>
          <w:rFonts w:ascii="Calibri" w:eastAsia="Calibri" w:hAnsi="Calibri" w:cs="Calibri"/>
          <w:sz w:val="20"/>
          <w:szCs w:val="20"/>
        </w:rPr>
        <w:t>emec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n. 15450), por meio da Portaria 698, de 7 de julho de 2021, não se </w:t>
      </w:r>
      <w:proofErr w:type="gramStart"/>
      <w:r>
        <w:rPr>
          <w:rFonts w:ascii="Calibri" w:eastAsia="Calibri" w:hAnsi="Calibri" w:cs="Calibri"/>
          <w:sz w:val="20"/>
          <w:szCs w:val="20"/>
        </w:rPr>
        <w:t>encontram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mas em vigor tendo em vista o advento do seu termo final, 1 (um) ano após sua publicação, conforme previsto na</w:t>
      </w:r>
      <w:r>
        <w:rPr>
          <w:rFonts w:ascii="Calibri" w:eastAsia="Calibri" w:hAnsi="Calibri" w:cs="Calibri"/>
          <w:sz w:val="20"/>
          <w:szCs w:val="20"/>
        </w:rPr>
        <w:t xml:space="preserve"> própria portaria que impôs tais providências.”</w:t>
      </w:r>
    </w:p>
    <w:p w14:paraId="79FCAECC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5B17A8" w14:paraId="3042638B" w14:textId="77777777" w:rsidTr="0019054B">
        <w:trPr>
          <w:trHeight w:val="154"/>
        </w:trPr>
        <w:tc>
          <w:tcPr>
            <w:tcW w:w="8897" w:type="dxa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15992C3A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VOTO FUNDAMENTADO</w:t>
            </w:r>
          </w:p>
        </w:tc>
      </w:tr>
    </w:tbl>
    <w:p w14:paraId="3AAE426C" w14:textId="77777777" w:rsidR="005B17A8" w:rsidRDefault="00746AAD" w:rsidP="001905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 xml:space="preserve">Voto por aceitar o registro de título complementar para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arquitet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e urbanista solicitante, pois o curso de especialização em Engenharia de Segurança do Trabalho da FACULDADE ÚNICA DE IPATINGA (FUNIP) comprova a carga horária mínima exigida em atividades presenciais, conforme o parecer CFE n° 19/1987 que prevê 60h (10% d</w:t>
      </w:r>
      <w:r>
        <w:rPr>
          <w:rFonts w:ascii="Calibri" w:eastAsia="Calibri" w:hAnsi="Calibri" w:cs="Calibri"/>
          <w:sz w:val="22"/>
          <w:szCs w:val="22"/>
        </w:rPr>
        <w:t>e 600), para número de horas/aula destinadas a atividades práticas e 600 horas de carga horária total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3C01FBA0" w14:textId="77777777" w:rsidR="005B17A8" w:rsidRDefault="00746AAD" w:rsidP="001905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requerente fez o curso de Engenharia de Segurança do </w:t>
      </w:r>
      <w:r>
        <w:rPr>
          <w:rFonts w:ascii="Calibri" w:eastAsia="Calibri" w:hAnsi="Calibri" w:cs="Calibri"/>
          <w:sz w:val="22"/>
          <w:szCs w:val="22"/>
        </w:rPr>
        <w:t>Trabalho</w:t>
      </w:r>
      <w:r>
        <w:rPr>
          <w:rFonts w:ascii="Calibri" w:eastAsia="Calibri" w:hAnsi="Calibri" w:cs="Calibri"/>
          <w:sz w:val="22"/>
          <w:szCs w:val="22"/>
        </w:rPr>
        <w:t xml:space="preserve"> no período de 22 de março de 2022 a 24 de março de 2023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48068C4C" w14:textId="77777777" w:rsidR="005B17A8" w:rsidRDefault="00746AAD" w:rsidP="001905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bservando a Portaria SERES</w:t>
      </w:r>
      <w:r>
        <w:rPr>
          <w:rFonts w:ascii="Calibri" w:eastAsia="Calibri" w:hAnsi="Calibri" w:cs="Calibri"/>
          <w:sz w:val="22"/>
          <w:szCs w:val="22"/>
        </w:rPr>
        <w:t>/MEC n. 698 publicada em 09/07/2021 que instaura procedimento sancionador perante a (15450) Faculdade Única de Ipatinga – FUNIP e outras IES, nos termos do Decreto 9235/2017, percebe-se que esta portaria impede que a FUNIP continue a oferecer o referido cu</w:t>
      </w:r>
      <w:r>
        <w:rPr>
          <w:rFonts w:ascii="Calibri" w:eastAsia="Calibri" w:hAnsi="Calibri" w:cs="Calibri"/>
          <w:sz w:val="22"/>
          <w:szCs w:val="22"/>
        </w:rPr>
        <w:t xml:space="preserve">rso a partir desta data. A FUNIP se defende dizendo que o efeito sancionador </w:t>
      </w:r>
      <w:proofErr w:type="gramStart"/>
      <w:r>
        <w:rPr>
          <w:rFonts w:ascii="Calibri" w:eastAsia="Calibri" w:hAnsi="Calibri" w:cs="Calibri"/>
          <w:sz w:val="22"/>
          <w:szCs w:val="22"/>
        </w:rPr>
        <w:t>refere-se</w:t>
      </w:r>
      <w:proofErr w:type="gramEnd"/>
      <w:r>
        <w:rPr>
          <w:rFonts w:ascii="Calibri" w:eastAsia="Calibri" w:hAnsi="Calibri" w:cs="Calibri"/>
          <w:sz w:val="22"/>
          <w:szCs w:val="22"/>
        </w:rPr>
        <w:t>, em sua maioria, a Universidade Cândido Mendes (UCAM) e não a FUNIP. As principais restrições aplicadas por meio da Portaria nº 698, de 07 de julho de 2021 são, exclusiv</w:t>
      </w:r>
      <w:r>
        <w:rPr>
          <w:rFonts w:ascii="Calibri" w:eastAsia="Calibri" w:hAnsi="Calibri" w:cs="Calibri"/>
          <w:sz w:val="22"/>
          <w:szCs w:val="22"/>
        </w:rPr>
        <w:t>amente, em face do polo de apoio presencial localizado na Avenida Acesita, nº 655, bairro Olaria, na cidade de Timóteo-MG, CEP 35180-207. Na declaração de veracidade do curso de pós graduação latu sensu o endereço da Faculdade ÚNICA de Ipatinga, inscrita n</w:t>
      </w:r>
      <w:r>
        <w:rPr>
          <w:rFonts w:ascii="Calibri" w:eastAsia="Calibri" w:hAnsi="Calibri" w:cs="Calibri"/>
          <w:sz w:val="22"/>
          <w:szCs w:val="22"/>
        </w:rPr>
        <w:t xml:space="preserve">o CNPJ sob o n° 32.495.498/0001-05, situada à Rua </w:t>
      </w:r>
      <w:proofErr w:type="spellStart"/>
      <w:r>
        <w:rPr>
          <w:rFonts w:ascii="Calibri" w:eastAsia="Calibri" w:hAnsi="Calibri" w:cs="Calibri"/>
          <w:sz w:val="22"/>
          <w:szCs w:val="22"/>
        </w:rPr>
        <w:t>Salermo</w:t>
      </w:r>
      <w:proofErr w:type="spellEnd"/>
      <w:r>
        <w:rPr>
          <w:rFonts w:ascii="Calibri" w:eastAsia="Calibri" w:hAnsi="Calibri" w:cs="Calibri"/>
          <w:sz w:val="22"/>
          <w:szCs w:val="22"/>
        </w:rPr>
        <w:t>, 299, bairro Bethânia, na cidade de Ipatinga-MG, não sendo o mesmo endereço da portaria.</w:t>
      </w:r>
    </w:p>
    <w:p w14:paraId="64D5C74A" w14:textId="77777777" w:rsidR="005B17A8" w:rsidRDefault="00746AAD" w:rsidP="001905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Mec responde que as medidas cautelares impostas à Faculdade Única de Ipatinga (</w:t>
      </w:r>
      <w:proofErr w:type="spellStart"/>
      <w:r>
        <w:rPr>
          <w:rFonts w:ascii="Calibri" w:eastAsia="Calibri" w:hAnsi="Calibri" w:cs="Calibri"/>
          <w:sz w:val="22"/>
          <w:szCs w:val="22"/>
        </w:rPr>
        <w:t>emec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n. 15450), por meio da</w:t>
      </w:r>
      <w:r>
        <w:rPr>
          <w:rFonts w:ascii="Calibri" w:eastAsia="Calibri" w:hAnsi="Calibri" w:cs="Calibri"/>
          <w:sz w:val="22"/>
          <w:szCs w:val="22"/>
        </w:rPr>
        <w:t xml:space="preserve"> Portaria 698, de 7 de julho de 2021, não se encontram mais em vigor. </w:t>
      </w:r>
    </w:p>
    <w:p w14:paraId="7BB75D6D" w14:textId="77777777" w:rsidR="005B17A8" w:rsidRDefault="00746AAD" w:rsidP="001905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 acordo com as justificativas acima, voto pelo deferimento da anotação de título complementar em engenharia de segurança do trabalho para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arquitet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e urbanista requerente, pois o c</w:t>
      </w:r>
      <w:r>
        <w:rPr>
          <w:rFonts w:ascii="Calibri" w:eastAsia="Calibri" w:hAnsi="Calibri" w:cs="Calibri"/>
          <w:sz w:val="22"/>
          <w:szCs w:val="22"/>
        </w:rPr>
        <w:t xml:space="preserve">urso realizado cumpre às exigências estabelecidas </w:t>
      </w:r>
      <w:r>
        <w:rPr>
          <w:rFonts w:ascii="Calibri" w:eastAsia="Calibri" w:hAnsi="Calibri" w:cs="Calibri"/>
          <w:sz w:val="22"/>
          <w:szCs w:val="22"/>
        </w:rPr>
        <w:t>pela DELIBERAÇÃO PLENÁRIA DPOBR No 00101- 05/2020 e pelo Parecer CFE n° 19/1987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4880639" w14:textId="77777777" w:rsidR="005B17A8" w:rsidRDefault="00746AAD" w:rsidP="0019054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1639AA4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Porto Alegre – RS, 1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</w:rPr>
        <w:t xml:space="preserve">julho </w:t>
      </w:r>
      <w:r>
        <w:rPr>
          <w:rFonts w:ascii="Calibri" w:eastAsia="Calibri" w:hAnsi="Calibri" w:cs="Calibri"/>
          <w:sz w:val="22"/>
          <w:szCs w:val="22"/>
        </w:rPr>
        <w:t>de 2023.</w:t>
      </w:r>
    </w:p>
    <w:p w14:paraId="55304890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5F022DA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6875AA82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051B289A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MARILIA PEREIRA DE ARDOVINO BARBOSA</w:t>
      </w:r>
    </w:p>
    <w:p w14:paraId="7DF15A95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Conselheira Relatora </w:t>
      </w:r>
    </w:p>
    <w:p w14:paraId="2F2D00A3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CEF-CAU/RS</w:t>
      </w:r>
      <w:r>
        <w:br w:type="page"/>
      </w:r>
    </w:p>
    <w:tbl>
      <w:tblPr>
        <w:tblStyle w:val="aa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6"/>
        <w:gridCol w:w="6993"/>
      </w:tblGrid>
      <w:tr w:rsidR="005B17A8" w14:paraId="16AE5DE5" w14:textId="77777777">
        <w:trPr>
          <w:trHeight w:val="375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6C7E4674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PROTOCOLO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61B6CB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1561594/2022</w:t>
            </w:r>
          </w:p>
        </w:tc>
      </w:tr>
      <w:tr w:rsidR="005B17A8" w14:paraId="275C8E1F" w14:textId="77777777">
        <w:trPr>
          <w:trHeight w:val="881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3A54CCFE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90BF5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REGISTRO DO TÍTULO COMPLEMENTAR DE ARQUITETO E URBANISTA COM ESPECIALIZAÇÃO EM ENGENHARIA DE SEGURANÇA DO TRABALHO.</w:t>
            </w:r>
          </w:p>
        </w:tc>
      </w:tr>
      <w:tr w:rsidR="005B17A8" w14:paraId="358871FC" w14:textId="77777777">
        <w:trPr>
          <w:trHeight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24C5061E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DELIBERAÇÃO Nº 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/2023 – CEF – CAU/RS</w:t>
            </w:r>
          </w:p>
        </w:tc>
      </w:tr>
    </w:tbl>
    <w:p w14:paraId="4E899628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F524C8F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COMISSÃO DE ENSINO E FORMAÇÃO – CEF-CAU/RS, reunida por meio de videoconferência, no aplicativo </w:t>
      </w:r>
      <w:r>
        <w:rPr>
          <w:rFonts w:ascii="Calibri" w:eastAsia="Calibri" w:hAnsi="Calibri" w:cs="Calibri"/>
          <w:i/>
          <w:sz w:val="22"/>
          <w:szCs w:val="22"/>
        </w:rPr>
        <w:t>Microsoft Teams</w:t>
      </w:r>
      <w:r>
        <w:rPr>
          <w:rFonts w:ascii="Calibri" w:eastAsia="Calibri" w:hAnsi="Calibri" w:cs="Calibri"/>
          <w:sz w:val="22"/>
          <w:szCs w:val="22"/>
        </w:rPr>
        <w:t>, no dia 18 de julho de 2023, no uso das competências que lhe conferem o artigo 2º, inciso III, alínea ‘b’, da Resolução nº 30 do CAU/BR, que d</w:t>
      </w:r>
      <w:r>
        <w:rPr>
          <w:rFonts w:ascii="Calibri" w:eastAsia="Calibri" w:hAnsi="Calibri" w:cs="Calibri"/>
          <w:sz w:val="22"/>
          <w:szCs w:val="22"/>
        </w:rPr>
        <w:t>ispõe sobre os atos administrativos de caráter decisório, após análise do assunto em epígrafe; e</w:t>
      </w:r>
    </w:p>
    <w:p w14:paraId="634FBD20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51750CA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a Lei n° 7.410, de 27 de novembro de 1985, que dispõe sobre a Especialização de Engenheiros e Arquitetos em Engenharia de Segurança do Trabalho, </w:t>
      </w:r>
      <w:r>
        <w:rPr>
          <w:rFonts w:ascii="Calibri" w:eastAsia="Calibri" w:hAnsi="Calibri" w:cs="Calibri"/>
          <w:sz w:val="22"/>
          <w:szCs w:val="22"/>
        </w:rPr>
        <w:t>a profissão de Técnico de Segurança do Trabalho, e dá outras providências, regulamentada pelo Decreto n° 92.530, de 9 de abril de 1986;</w:t>
      </w:r>
    </w:p>
    <w:p w14:paraId="6A8318E4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25ED5EB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a Resolução CAU/BR 162/2018 que dispõe sobre o registro do título complementar e o exercício das atividade</w:t>
      </w:r>
      <w:r>
        <w:rPr>
          <w:rFonts w:ascii="Calibri" w:eastAsia="Calibri" w:hAnsi="Calibri" w:cs="Calibri"/>
          <w:sz w:val="22"/>
          <w:szCs w:val="22"/>
        </w:rPr>
        <w:t>s do arquiteto e urbanista com especialização em Engenharia de Segurança do Trabalho e dá outras providências, e que em seu Art. 4º § 2º estabelece que a responsabilidade pelo processo de análise e aprovação de título complementar de Engenharia de Seguranç</w:t>
      </w:r>
      <w:r>
        <w:rPr>
          <w:rFonts w:ascii="Calibri" w:eastAsia="Calibri" w:hAnsi="Calibri" w:cs="Calibri"/>
          <w:sz w:val="22"/>
          <w:szCs w:val="22"/>
        </w:rPr>
        <w:t>a do trabalho é da Comissão de Ensino e Formação (CEF) do CAU/UF, que poderá delegar a análise e instrução do processo para o corpo técnico por meio de Deliberação de Comissão;</w:t>
      </w:r>
    </w:p>
    <w:p w14:paraId="4B417236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8C7534A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a ratificação ao Parecer CFE n° 19/1987, que estabelece o Currículo Básico do Curso de Especialização em Engenharia de Segurança do Trabalho, por meio da Deliberação n° 017/2020-CEF-CAU/BR. </w:t>
      </w:r>
    </w:p>
    <w:p w14:paraId="01D31747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A30A6A8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a Resolução CNE/CES nº 1/2018, que est</w:t>
      </w:r>
      <w:r>
        <w:rPr>
          <w:rFonts w:ascii="Calibri" w:eastAsia="Calibri" w:hAnsi="Calibri" w:cs="Calibri"/>
          <w:sz w:val="22"/>
          <w:szCs w:val="22"/>
        </w:rPr>
        <w:t>abelece diretrizes e normas para a oferta dos cursos de pós-graduação lato sensu denominados cursos de especialização, no âmbito do Sistema Federal de Educação Superior, conforme prevê o art. 39, § 3º, da Lei nº 9.394, de 20 de dezembro de 1996, e dá outra</w:t>
      </w:r>
      <w:r>
        <w:rPr>
          <w:rFonts w:ascii="Calibri" w:eastAsia="Calibri" w:hAnsi="Calibri" w:cs="Calibri"/>
          <w:sz w:val="22"/>
          <w:szCs w:val="22"/>
        </w:rPr>
        <w:t>s providências;</w:t>
      </w:r>
    </w:p>
    <w:p w14:paraId="577646C9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F866FFF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a Deliberação nº 020/2018 da CEF-CAU/RS, que define que as solicitações de registro de título complementar de Engenheiro (a) de Segurança do Trabalho realizadas no SICCAU serão analisadas e instruídas pelo corpo técnico compet</w:t>
      </w:r>
      <w:r>
        <w:rPr>
          <w:rFonts w:ascii="Calibri" w:eastAsia="Calibri" w:hAnsi="Calibri" w:cs="Calibri"/>
          <w:sz w:val="22"/>
          <w:szCs w:val="22"/>
        </w:rPr>
        <w:t>ente do CAU/RS de acordo com a legislação e orientações do CAU/BR;</w:t>
      </w:r>
    </w:p>
    <w:p w14:paraId="138387D2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37FE3245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o preenchimento dos requisitos pelo solicitante, a análise dos documentos obrigatórios apresentados pelo requerente e a minuciosa conferência dos dados explicitados no ANEXO I</w:t>
      </w:r>
      <w:r>
        <w:rPr>
          <w:rFonts w:ascii="Calibri" w:eastAsia="Calibri" w:hAnsi="Calibri" w:cs="Calibri"/>
          <w:sz w:val="22"/>
          <w:szCs w:val="22"/>
        </w:rPr>
        <w:t xml:space="preserve"> do presente documento, conforme exigências prescritas no Art. 5º da Resolução CAU/BR 162/2018 e Deliberação Plenária DPOBR Nº 00101-05/2020; e</w:t>
      </w:r>
    </w:p>
    <w:p w14:paraId="2DDB56A3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2976F53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o Relatório e Voto fundamentado apresentado pela Conselheira designada pela CEF-CAU/RS após anális</w:t>
      </w:r>
      <w:r>
        <w:rPr>
          <w:rFonts w:ascii="Calibri" w:eastAsia="Calibri" w:hAnsi="Calibri" w:cs="Calibri"/>
          <w:sz w:val="22"/>
          <w:szCs w:val="22"/>
        </w:rPr>
        <w:t xml:space="preserve">e da documentação apresentada no Protocolo SICCAU 1561594/2022; </w:t>
      </w:r>
    </w:p>
    <w:p w14:paraId="1696A144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BB56693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 Comissão de Ensino e Formação do CAU/RS, no uso de suas atribuições conferidas pelo que lhe conferem o artigo 93, do Regimento Interno do CAU/RS,</w:t>
      </w:r>
    </w:p>
    <w:p w14:paraId="692CEA12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7B1C981E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DELIBERA: </w:t>
      </w:r>
    </w:p>
    <w:p w14:paraId="1304A01A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337EB9D2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</w:t>
      </w:r>
      <w:r>
        <w:rPr>
          <w:rFonts w:ascii="Calibri" w:eastAsia="Calibri" w:hAnsi="Calibri" w:cs="Calibri"/>
          <w:sz w:val="22"/>
          <w:szCs w:val="22"/>
        </w:rPr>
        <w:t xml:space="preserve">Por acompanhar o voto da conselheira relatora e DEFERIR o requerimento de anotação de pós-graduação em Engenharia de Segurança do Trabalho, referente a profissional listado abaixo, pois o curso realizado cumpre às exigências estabelecidas pela DELIBERAÇÃO </w:t>
      </w:r>
      <w:r>
        <w:rPr>
          <w:rFonts w:ascii="Calibri" w:eastAsia="Calibri" w:hAnsi="Calibri" w:cs="Calibri"/>
          <w:sz w:val="22"/>
          <w:szCs w:val="22"/>
        </w:rPr>
        <w:t>PLENÁRIA DPOBR No 00101- 05/2020 e pelo Parecer CFE n° 19/1987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FAB85DB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b"/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80"/>
        <w:gridCol w:w="4340"/>
        <w:gridCol w:w="1984"/>
        <w:gridCol w:w="2127"/>
      </w:tblGrid>
      <w:tr w:rsidR="005B17A8" w14:paraId="110AB905" w14:textId="77777777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23AF0DD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36FAA4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REQUERENTE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3A53CD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AD9A72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PROTOCOLO SICCAU</w:t>
            </w:r>
          </w:p>
        </w:tc>
      </w:tr>
      <w:tr w:rsidR="005B17A8" w14:paraId="5E85E192" w14:textId="77777777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B1BB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46A0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black"/>
              </w:rPr>
              <w:t>ENRIQUE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B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black"/>
              </w:rPr>
              <w:t>ECKER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black"/>
              </w:rPr>
              <w:t>ANGE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2CFB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FUNIP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969D" w14:textId="77777777" w:rsidR="005B17A8" w:rsidRDefault="0074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1729727/2023</w:t>
            </w:r>
          </w:p>
        </w:tc>
      </w:tr>
    </w:tbl>
    <w:p w14:paraId="512B8464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0D82CED1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</w:p>
    <w:p w14:paraId="6E44DD46" w14:textId="773A182E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Porto Alegre, </w:t>
      </w:r>
      <w:r w:rsidR="0019054B">
        <w:rPr>
          <w:rFonts w:ascii="Calibri" w:eastAsia="Calibri" w:hAnsi="Calibri" w:cs="Calibri"/>
          <w:sz w:val="22"/>
          <w:szCs w:val="22"/>
        </w:rPr>
        <w:t>18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 w:rsidR="0019054B">
        <w:rPr>
          <w:rFonts w:ascii="Calibri" w:eastAsia="Calibri" w:hAnsi="Calibri" w:cs="Calibri"/>
          <w:sz w:val="22"/>
          <w:szCs w:val="22"/>
        </w:rPr>
        <w:t>julho</w:t>
      </w:r>
      <w:r>
        <w:rPr>
          <w:rFonts w:ascii="Calibri" w:eastAsia="Calibri" w:hAnsi="Calibri" w:cs="Calibri"/>
          <w:sz w:val="22"/>
          <w:szCs w:val="22"/>
        </w:rPr>
        <w:t xml:space="preserve"> de 2023.</w:t>
      </w:r>
    </w:p>
    <w:p w14:paraId="62E9ACDB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</w:p>
    <w:p w14:paraId="39993316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</w:pPr>
      <w:r>
        <w:rPr>
          <w:rFonts w:ascii="Calibri" w:eastAsia="Calibri" w:hAnsi="Calibri" w:cs="Calibri"/>
        </w:rPr>
        <w:t>Acompanhado dos votos dos(as) conselheiros(as)</w:t>
      </w:r>
      <w:r>
        <w:rPr>
          <w:rFonts w:ascii="Calibri" w:eastAsia="Calibri" w:hAnsi="Calibri" w:cs="Calibri"/>
          <w:b/>
        </w:rPr>
        <w:t xml:space="preserve"> Márcia Elizabeth Martins, Marilia Pereira de Ardovino Barbosa, Nubia Margot Menezes Jardim e Rinaldo Ferreira Barbosa. </w:t>
      </w:r>
      <w:r>
        <w:rPr>
          <w:rFonts w:ascii="Calibri" w:eastAsia="Calibri" w:hAnsi="Calibri" w:cs="Calibri"/>
        </w:rPr>
        <w:t xml:space="preserve">Atesto a veracidade das informações aqui apresentadas. </w:t>
      </w:r>
    </w:p>
    <w:p w14:paraId="4549B18D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72D50E7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0859039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</w:pPr>
    </w:p>
    <w:p w14:paraId="7EFAC088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4B91BD6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jc w:val="center"/>
      </w:pPr>
      <w:r>
        <w:rPr>
          <w:rFonts w:ascii="Calibri" w:eastAsia="Calibri" w:hAnsi="Calibri" w:cs="Calibri"/>
          <w:b/>
          <w:sz w:val="22"/>
          <w:szCs w:val="22"/>
        </w:rPr>
        <w:t>RODRIGO SPINELLI</w:t>
      </w:r>
    </w:p>
    <w:p w14:paraId="7C6DD973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jc w:val="center"/>
      </w:pPr>
      <w:r>
        <w:rPr>
          <w:rFonts w:ascii="Calibri" w:eastAsia="Calibri" w:hAnsi="Calibri" w:cs="Calibri"/>
          <w:sz w:val="22"/>
          <w:szCs w:val="22"/>
        </w:rPr>
        <w:t>Coordenador - CEF-CAU/RS</w:t>
      </w:r>
    </w:p>
    <w:p w14:paraId="1D3C0299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223C57C3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7FFFA5CF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0D88EB77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ANEXO I - ANÁLISE DOCUMENTAÇÃO PARA REGISTRO DO </w:t>
      </w:r>
    </w:p>
    <w:p w14:paraId="58BDF20C" w14:textId="77777777" w:rsidR="005B17A8" w:rsidRDefault="00746A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TÍTULO DE ENGENHEIRO DE SEGURANÇA DO TRABALHO.</w:t>
      </w:r>
    </w:p>
    <w:p w14:paraId="09FB8A95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ac"/>
        <w:tblW w:w="102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00"/>
        <w:gridCol w:w="1020"/>
        <w:gridCol w:w="2673"/>
        <w:gridCol w:w="1459"/>
        <w:gridCol w:w="974"/>
        <w:gridCol w:w="1300"/>
      </w:tblGrid>
      <w:tr w:rsidR="005B17A8" w14:paraId="2C3A661E" w14:textId="77777777">
        <w:trPr>
          <w:gridAfter w:val="1"/>
          <w:wAfter w:w="1300" w:type="dxa"/>
          <w:trHeight w:val="495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002FE7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ANÁLISE DA DOCUMENTAÇÃO PARA REGISTRO DE ENG. SEG. DO TRABALHO</w:t>
            </w:r>
          </w:p>
        </w:tc>
      </w:tr>
      <w:tr w:rsidR="005B17A8" w14:paraId="747A74A8" w14:textId="77777777">
        <w:trPr>
          <w:gridAfter w:val="1"/>
          <w:wAfter w:w="1300" w:type="dxa"/>
          <w:trHeight w:val="27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C6563" w14:textId="77777777" w:rsidR="005B17A8" w:rsidRDefault="005B17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17A8" w14:paraId="09F841B8" w14:textId="77777777">
        <w:trPr>
          <w:gridAfter w:val="1"/>
          <w:wAfter w:w="1300" w:type="dxa"/>
          <w:trHeight w:val="42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DA4E3D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TABELA 01 - IDENTIFICAÇÃO DO INTERESSADO E DO PROCESSO ADMINISTRATIVO</w:t>
            </w:r>
          </w:p>
        </w:tc>
      </w:tr>
      <w:tr w:rsidR="005B17A8" w14:paraId="20EA6E21" w14:textId="77777777">
        <w:trPr>
          <w:gridAfter w:val="1"/>
          <w:wAfter w:w="1300" w:type="dxa"/>
          <w:trHeight w:val="300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FDF53B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PROTOCOLO SICCAU/ANO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5938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1729727/2023</w:t>
            </w:r>
          </w:p>
        </w:tc>
      </w:tr>
      <w:tr w:rsidR="005B17A8" w14:paraId="3D8C168F" w14:textId="77777777">
        <w:trPr>
          <w:gridAfter w:val="1"/>
          <w:wAfter w:w="1300" w:type="dxa"/>
          <w:trHeight w:val="300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8F9CA9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DO REQUERENTE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9F3D6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black"/>
              </w:rPr>
              <w:t>ENRIQUE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black"/>
              </w:rPr>
              <w:t xml:space="preserve">ECKER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black"/>
              </w:rPr>
              <w:t>ANGE</w:t>
            </w:r>
          </w:p>
        </w:tc>
      </w:tr>
      <w:tr w:rsidR="005B17A8" w14:paraId="6CC074AC" w14:textId="77777777">
        <w:trPr>
          <w:gridAfter w:val="1"/>
          <w:wAfter w:w="1300" w:type="dxa"/>
          <w:trHeight w:val="300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4A402B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REGISTRO CAU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C91C1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CAU nº 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black"/>
              </w:rPr>
              <w:t>225633-9</w:t>
            </w:r>
          </w:p>
        </w:tc>
      </w:tr>
      <w:tr w:rsidR="005B17A8" w14:paraId="4AB82EE6" w14:textId="77777777">
        <w:trPr>
          <w:gridAfter w:val="1"/>
          <w:wAfter w:w="1300" w:type="dxa"/>
          <w:trHeight w:val="660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48E957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STATUS DO REGISTRO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C7603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(Resolução CAU/BR nº 162/2018, art. 1º)</w:t>
            </w:r>
          </w:p>
        </w:tc>
      </w:tr>
      <w:tr w:rsidR="005B17A8" w14:paraId="7A45E3F1" w14:textId="77777777">
        <w:trPr>
          <w:gridAfter w:val="1"/>
          <w:wAfter w:w="1300" w:type="dxa"/>
          <w:trHeight w:val="285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C1748" w14:textId="77777777" w:rsidR="005B17A8" w:rsidRDefault="005B17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3E01B3A2" w14:textId="77777777">
        <w:trPr>
          <w:gridAfter w:val="1"/>
          <w:wAfter w:w="1300" w:type="dxa"/>
          <w:trHeight w:val="375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469CF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TABELA 02 -VERIFICAÇÃO DA DOCUMENTAÇÃO APRESENTADA</w:t>
            </w:r>
          </w:p>
        </w:tc>
      </w:tr>
      <w:tr w:rsidR="005B17A8" w14:paraId="72D6420E" w14:textId="77777777">
        <w:trPr>
          <w:gridAfter w:val="1"/>
          <w:wAfter w:w="1300" w:type="dxa"/>
          <w:trHeight w:val="4485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553540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CERTIFICADO, HISTÓRICO ESCOLAR, EMENTAS E/OU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DOCUMENTO OFICIAL DA IE ACERCA DO DESMEMBRAMENTO DA CARGA-HORÁRIA REFERENTE ÀS AULAS PRÁTICAS.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E8CB90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Nº REGISTRO DO CERTIFICADO: 8155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(Lei nº 7410, de 1985, arts.1º e 2º e Decreto 92530, de 1986, arts.1º e 2º; Resolução CES/CNE nº 1/2018, art. 8º; e Parecer CF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nº 19/1987)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Deverá constar: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Ato legal de credenciamento da instituição e identificação do curso (Tabela 03);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Período de realização e duração total (Tabela 04);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• Estrutura curricular, carga horária e tempo de duração mínimos, conforme Parecer CFE nº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19/1987 (Tabela 05);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Especificação da carga horária de cada atividade acadêmica (histórico);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Carga horária destinada às aulas práticas (histórico, ementa ou doc. oficial), 60 (sessenta) horas-aulas, no mínimo.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Carga horária total de, no mínimo, 600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seiscentas) horas-aula;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Elenco do corpo docente que efetivamente ministrou o curso, com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sua respectiva titulação (Tabela 06)</w:t>
            </w:r>
          </w:p>
        </w:tc>
      </w:tr>
      <w:tr w:rsidR="005B17A8" w14:paraId="412FF2CE" w14:textId="77777777">
        <w:trPr>
          <w:gridAfter w:val="1"/>
          <w:wAfter w:w="1300" w:type="dxa"/>
          <w:trHeight w:val="30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0FEE9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1BE39EC9" w14:textId="77777777">
        <w:trPr>
          <w:gridAfter w:val="1"/>
          <w:wAfter w:w="1300" w:type="dxa"/>
          <w:trHeight w:val="30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2B195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TABELA 03 - IDENTIFICAÇÃO DA INSTITUIÇÃO DE ENSINO E DO CURSO DE ESPECIALIZAÇÃO</w:t>
            </w:r>
          </w:p>
        </w:tc>
      </w:tr>
      <w:tr w:rsidR="005B17A8" w14:paraId="3C96235E" w14:textId="77777777">
        <w:trPr>
          <w:gridAfter w:val="1"/>
          <w:wAfter w:w="1300" w:type="dxa"/>
          <w:trHeight w:val="720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4F4FF4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DA INSTITUIÇÃO DE ENSINO (IE)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AE955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FACULDADE ÚNICA DE IPATINGA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(Conforme consta do Certificado)</w:t>
            </w:r>
          </w:p>
        </w:tc>
      </w:tr>
      <w:tr w:rsidR="005B17A8" w14:paraId="0C8A544C" w14:textId="77777777">
        <w:trPr>
          <w:gridAfter w:val="1"/>
          <w:wAfter w:w="1300" w:type="dxa"/>
          <w:trHeight w:val="915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D79D8B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CÓDIGO E-MEC DA IE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3D9E0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15450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(Resolução CES/CNE nº 1/2018, art. 6º - pode ser consultado no acesso público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e-MEC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17A8" w14:paraId="7A8AD4E7" w14:textId="77777777">
        <w:trPr>
          <w:gridAfter w:val="1"/>
          <w:wAfter w:w="1300" w:type="dxa"/>
          <w:trHeight w:val="660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D0AD12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CÓDIGO E-MEC DO CURSO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C4DA1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77806</w:t>
            </w:r>
          </w:p>
        </w:tc>
      </w:tr>
      <w:tr w:rsidR="005B17A8" w14:paraId="0C3269EC" w14:textId="77777777">
        <w:trPr>
          <w:gridAfter w:val="1"/>
          <w:wAfter w:w="1300" w:type="dxa"/>
          <w:trHeight w:val="930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16A3B2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PORTARIA/DECRETO DE CREDENCIAMENTO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2AE37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Portaria N º 1.004 de 17/08/2017 - DOU de 18/08/2017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(Resolução CES/CNE 1/2018, art. 2º e 8º - deve constar do Certificado e pode ser confirmado no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e-MEC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em acesso público)</w:t>
            </w:r>
          </w:p>
        </w:tc>
      </w:tr>
      <w:tr w:rsidR="005B17A8" w14:paraId="3FA08D7F" w14:textId="77777777">
        <w:trPr>
          <w:gridAfter w:val="1"/>
          <w:wAfter w:w="1300" w:type="dxa"/>
          <w:trHeight w:val="33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6329E" w14:textId="77777777" w:rsidR="005B17A8" w:rsidRDefault="005B17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622970EC" w14:textId="77777777">
        <w:trPr>
          <w:gridAfter w:val="1"/>
          <w:wAfter w:w="1300" w:type="dxa"/>
          <w:trHeight w:val="30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612086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TABELA 04 - DADOS DO CURSO DE ESPECIALIZAÇÃO</w:t>
            </w:r>
          </w:p>
        </w:tc>
      </w:tr>
      <w:tr w:rsidR="005B17A8" w14:paraId="55342C41" w14:textId="77777777">
        <w:trPr>
          <w:gridAfter w:val="1"/>
          <w:wAfter w:w="1300" w:type="dxa"/>
          <w:trHeight w:val="1320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DDE912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PERÍODO DO CURSO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3417C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22/03/2022 a 24/03/2023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3 semestres = MÍNIMO DE 2 (dois)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SEMESTRES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Parecer CFE/CESU 19/1987 - deve constar do Certificado conforme Resolução CES/CNE nº 1/2018, art. 8º)</w:t>
            </w:r>
          </w:p>
        </w:tc>
      </w:tr>
      <w:tr w:rsidR="005B17A8" w14:paraId="2A5B26A1" w14:textId="77777777">
        <w:trPr>
          <w:gridAfter w:val="1"/>
          <w:wAfter w:w="1300" w:type="dxa"/>
          <w:trHeight w:val="720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929D44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TÍTULO DA MONOGRAFIA OU TRABALHO DE CONCLUSÃO DE CURSO (OPCIONAL)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829E0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black"/>
              </w:rPr>
              <w:t>IMPORTÂNCIA DO PROFIS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black"/>
              </w:rPr>
              <w:t>SIONAL DE ENGENHARIA DE SEGURANÇA DO TRABALHO NO AMBIENTE LABORAL PARA A PREVENÇÃO DE ACIDENTES.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(Resolução CNE/CES nº 1/2018, art. 7º, inciso III)</w:t>
            </w:r>
          </w:p>
        </w:tc>
      </w:tr>
      <w:tr w:rsidR="005B17A8" w14:paraId="0B83E424" w14:textId="77777777">
        <w:trPr>
          <w:gridAfter w:val="1"/>
          <w:wAfter w:w="1300" w:type="dxa"/>
          <w:trHeight w:val="945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E5C76F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PARA A INSTITUIÇÃO DE ENSINO COM CONFIRMAÇÃO DO EGRESSO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091BD" w14:textId="77777777" w:rsidR="005B17A8" w:rsidRDefault="00746AAD">
            <w:pPr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hyperlink r:id="rId7">
              <w:r w:rsidRPr="00746AAD">
                <w:rPr>
                  <w:rFonts w:ascii="Calibri" w:eastAsia="Calibri" w:hAnsi="Calibri" w:cs="Calibri"/>
                  <w:sz w:val="22"/>
                  <w:szCs w:val="22"/>
                </w:rPr>
                <w:t>12/04/2023 R</w:t>
              </w:r>
              <w:r w:rsidRPr="00746AAD">
                <w:rPr>
                  <w:rFonts w:ascii="Calibri" w:eastAsia="Calibri" w:hAnsi="Calibri" w:cs="Calibri"/>
                  <w:sz w:val="22"/>
                  <w:szCs w:val="22"/>
                  <w:highlight w:val="black"/>
                </w:rPr>
                <w:t>anya,</w:t>
              </w:r>
            </w:hyperlink>
            <w:hyperlink r:id="rId8">
              <w:r w:rsidRPr="00746AAD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hyperlink>
            <w:hyperlink r:id="rId9">
              <w:r w:rsidRPr="00746AAD">
                <w:rPr>
                  <w:rStyle w:val="Hyperlink"/>
                  <w:color w:val="auto"/>
                  <w:highlight w:val="black"/>
                </w:rPr>
                <w:t>declaracao@grupoprominas.com.br</w:t>
              </w:r>
            </w:hyperlink>
          </w:p>
        </w:tc>
      </w:tr>
      <w:tr w:rsidR="005B17A8" w14:paraId="297C8EDA" w14:textId="77777777">
        <w:trPr>
          <w:gridAfter w:val="1"/>
          <w:wAfter w:w="1300" w:type="dxa"/>
          <w:trHeight w:val="30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402CE" w14:textId="77777777" w:rsidR="005B17A8" w:rsidRDefault="005B17A8">
            <w:pPr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</w:tr>
      <w:tr w:rsidR="005B17A8" w14:paraId="30B2D699" w14:textId="77777777">
        <w:trPr>
          <w:gridAfter w:val="1"/>
          <w:wAfter w:w="1300" w:type="dxa"/>
          <w:trHeight w:val="30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80F7E5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TABELA 05 - ANÁLISE DA ESTRUTURA CURRICULAR</w:t>
            </w:r>
          </w:p>
        </w:tc>
      </w:tr>
      <w:tr w:rsidR="005B17A8" w14:paraId="1FA75F36" w14:textId="77777777">
        <w:trPr>
          <w:gridAfter w:val="1"/>
          <w:wAfter w:w="1300" w:type="dxa"/>
          <w:trHeight w:val="480"/>
        </w:trPr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DF6D38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DISCIPLINA OBRIGATÓRIA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(Parecer CFE n° 19/1987)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DDBA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CARGA HORÁRIA MÍNIMA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916FFC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DISCIPLINA CURSADA*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(conforme histórico apresentado)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820538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CARGA HORÁRIA CURSADA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730EF3A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PARECER</w:t>
            </w:r>
          </w:p>
        </w:tc>
      </w:tr>
      <w:tr w:rsidR="005B17A8" w14:paraId="6F62ABCC" w14:textId="77777777">
        <w:trPr>
          <w:trHeight w:val="300"/>
        </w:trPr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FC5DFA" w14:textId="77777777" w:rsidR="005B17A8" w:rsidRDefault="005B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AE24F9" w14:textId="77777777" w:rsidR="005B17A8" w:rsidRDefault="005B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D46AF" w14:textId="77777777" w:rsidR="005B17A8" w:rsidRDefault="005B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1DACCB" w14:textId="77777777" w:rsidR="005B17A8" w:rsidRDefault="005B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6C7AE673" w14:textId="77777777" w:rsidR="005B17A8" w:rsidRDefault="005B1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7A99C" w14:textId="77777777" w:rsidR="005B17A8" w:rsidRDefault="005B17A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7A8" w14:paraId="4F97FD6E" w14:textId="77777777">
        <w:trPr>
          <w:trHeight w:val="51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5A10E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Introdução à Engenharia de Segurança do Trabalho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057F2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AD227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Introdução à Engenharia de Segurança do Trabalho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D09F1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35257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57AAD41B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13AAE5BA" w14:textId="77777777">
        <w:trPr>
          <w:trHeight w:val="765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234D6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Prevenção e Controle de Riscos em Máquinas, Equipamentos e Instalações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1C158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3315F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Prevenção e Controle de Riscos em Máquinas, Equipamentos e Instalações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9F2A3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E2AFC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7823E23B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08973636" w14:textId="77777777">
        <w:trPr>
          <w:trHeight w:val="30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C074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Higiene do Trabalho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2D83C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E7B8C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Higiene do Trabalho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6662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AAEA7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65EB227E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2D261BB5" w14:textId="77777777">
        <w:trPr>
          <w:trHeight w:val="30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76174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Proteção do Meio Ambiente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25C95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697DF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Proteção do Meio Ambiente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D1462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3F3A7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3EF737D7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4A1DFD1C" w14:textId="77777777">
        <w:trPr>
          <w:trHeight w:val="51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1B81C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Proteção contra Incêndio e Explosões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0DD58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84445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Proteção contra Incêndios e Explosões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FF9F6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5259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47C0CA4E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403DF017" w14:textId="77777777">
        <w:trPr>
          <w:trHeight w:val="30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3EECA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Gerência de Riscos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CB080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BCE61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Gerência de Riscos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93BB3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42169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73A29BBF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0E739B6A" w14:textId="77777777">
        <w:trPr>
          <w:trHeight w:val="765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06605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Psicologia na Engenharia de Segurança, Comunicação e Treinamento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6821F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A8A7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Psicologia na Engenharia de Segurança, Comunicação e Treinamento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FFC8F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8CC4D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72324AFC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7D051E0E" w14:textId="77777777">
        <w:trPr>
          <w:trHeight w:val="51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DF147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Administração Aplicada a Engenharia de Segurança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DD403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B38C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Administração Aplicada à Engenharia de Segurança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EF5C6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79CF4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21FCDF09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3A5ECDF3" w14:textId="77777777">
        <w:trPr>
          <w:trHeight w:val="51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EF9BE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Ambiente e as Doenças do Trabalho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FD532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2E3F0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 Ambiente e a Doenças do Trabalho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F42E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78F03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082624CF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6C6AE1C0" w14:textId="77777777">
        <w:trPr>
          <w:trHeight w:val="30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FB852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Ergonomia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01DA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6B66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Ergonomia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15037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EEE93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43A357C4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6F3DD724" w14:textId="77777777">
        <w:trPr>
          <w:trHeight w:val="30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38400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Legislação e Normas Técnicas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BDA94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D2CCC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Legislação e Normas Técnicas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C3718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A7B45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7EB7E0F3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51BD2968" w14:textId="77777777">
        <w:trPr>
          <w:trHeight w:val="765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736C80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CARGA HORÁRIA TOTAL DISCIPLINAS OBRIGATÓRIAS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163E0C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71A25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 TOTAL DISCIPLINAS OBRIGATÓRIAS CURSADAS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92B15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B3844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3A9A6FBB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63790242" w14:textId="77777777">
        <w:trPr>
          <w:trHeight w:val="42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A57C4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Optativas (Complementares)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5E401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8C01F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Metodologia do Trabalho Científico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F433A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2B301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704A0A46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31B6B9FE" w14:textId="77777777">
        <w:trPr>
          <w:trHeight w:val="51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588E4C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CARGA HORÁRIA TOTAL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57B7CD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33042B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 TOTAL CURSADA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33D783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DF9A07" w14:textId="77777777" w:rsidR="005B17A8" w:rsidRDefault="005B17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2424C56D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027D6BA5" w14:textId="77777777">
        <w:trPr>
          <w:trHeight w:val="75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0A257B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NÚMERO DE HORAS AULA PRÁTICAS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4CC238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60(10%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total)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C38C59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DE HORAS AULA PRÁTICAS CURSADAS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EC2067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60 (10% da c/h mínima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exigda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3F9BF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67B0BE32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7195F1F5" w14:textId="77777777">
        <w:trPr>
          <w:trHeight w:val="30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75D81" w14:textId="77777777" w:rsidR="005B17A8" w:rsidRDefault="005B17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69EAD90F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30E0ECDA" w14:textId="77777777">
        <w:trPr>
          <w:trHeight w:val="30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703838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TABELA 06 - ANÁLISE DO CORPO DOCENTE</w:t>
            </w:r>
          </w:p>
        </w:tc>
        <w:tc>
          <w:tcPr>
            <w:tcW w:w="1300" w:type="dxa"/>
            <w:vAlign w:val="center"/>
          </w:tcPr>
          <w:p w14:paraId="0C298BB2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152BEB9E" w14:textId="77777777">
        <w:trPr>
          <w:trHeight w:val="405"/>
        </w:trPr>
        <w:tc>
          <w:tcPr>
            <w:tcW w:w="6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B4215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DE PROFESSORES SEM PÓS GRADUAÇÃO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30622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00" w:type="dxa"/>
            <w:vAlign w:val="center"/>
          </w:tcPr>
          <w:p w14:paraId="6F1F0C68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48425F79" w14:textId="77777777">
        <w:trPr>
          <w:trHeight w:val="360"/>
        </w:trPr>
        <w:tc>
          <w:tcPr>
            <w:tcW w:w="6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ACD5C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DE PROFESSORES ESPECIALISTAS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52EC5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00" w:type="dxa"/>
            <w:vAlign w:val="center"/>
          </w:tcPr>
          <w:p w14:paraId="1C000812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76BDA0F0" w14:textId="77777777">
        <w:trPr>
          <w:trHeight w:val="360"/>
        </w:trPr>
        <w:tc>
          <w:tcPr>
            <w:tcW w:w="6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5582FE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DE PROFESSORES COM MESTRADO OU DOUTORADO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8F228A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00" w:type="dxa"/>
            <w:vAlign w:val="center"/>
          </w:tcPr>
          <w:p w14:paraId="0A2CE0ED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07C8C5BA" w14:textId="77777777">
        <w:trPr>
          <w:trHeight w:val="360"/>
        </w:trPr>
        <w:tc>
          <w:tcPr>
            <w:tcW w:w="6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3D403E8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 DE PROFESSORES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A6CAB3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00" w:type="dxa"/>
            <w:vAlign w:val="center"/>
          </w:tcPr>
          <w:p w14:paraId="34BB12B0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74A423CD" w14:textId="77777777">
        <w:trPr>
          <w:trHeight w:val="855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56379A" w14:textId="77777777" w:rsidR="005B17A8" w:rsidRDefault="00746AA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PERCENTUAL DE PROFESSORES COM MESTRADO OU DOUTORADO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9FF047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CD1ABC2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ATENDE</w:t>
            </w:r>
          </w:p>
        </w:tc>
        <w:tc>
          <w:tcPr>
            <w:tcW w:w="1300" w:type="dxa"/>
            <w:vAlign w:val="center"/>
          </w:tcPr>
          <w:p w14:paraId="72B714C1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5B1F0331" w14:textId="77777777">
        <w:trPr>
          <w:trHeight w:val="105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E5AB2" w14:textId="77777777" w:rsidR="005B17A8" w:rsidRDefault="00746A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Obs.: A PORTARIA Nº 698, DE 7 DE JULHO DE 2021, anexada ao protocolo 1729727/2023, referente à abertura de processo sancionador à FUNIP, foi publicada em data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anterior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à conclusão do curso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elo egresso.</w:t>
            </w:r>
          </w:p>
        </w:tc>
        <w:tc>
          <w:tcPr>
            <w:tcW w:w="1300" w:type="dxa"/>
            <w:vAlign w:val="center"/>
          </w:tcPr>
          <w:p w14:paraId="53EA35CE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594A0DBB" w14:textId="77777777">
        <w:trPr>
          <w:trHeight w:val="300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A4318" w14:textId="77777777" w:rsidR="005B17A8" w:rsidRDefault="00746AAD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Porto Alegre, 27 de abril de 2023</w:t>
            </w:r>
          </w:p>
        </w:tc>
        <w:tc>
          <w:tcPr>
            <w:tcW w:w="1300" w:type="dxa"/>
            <w:vAlign w:val="center"/>
          </w:tcPr>
          <w:p w14:paraId="1D7CD6D3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7A8" w14:paraId="5EE24DC1" w14:textId="77777777">
        <w:trPr>
          <w:trHeight w:val="525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FD97CD" w14:textId="77777777" w:rsidR="005B17A8" w:rsidRDefault="00746A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Cleci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Luciano Vargas, Assistente Administrativo</w:t>
            </w:r>
          </w:p>
        </w:tc>
        <w:tc>
          <w:tcPr>
            <w:tcW w:w="1300" w:type="dxa"/>
            <w:vAlign w:val="center"/>
          </w:tcPr>
          <w:p w14:paraId="03B55749" w14:textId="77777777" w:rsidR="005B17A8" w:rsidRDefault="005B17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CDD4D5" w14:textId="77777777" w:rsidR="005B17A8" w:rsidRDefault="005B1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</w:p>
    <w:sectPr w:rsidR="005B17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412" w:bottom="709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3DA6" w14:textId="77777777" w:rsidR="00000000" w:rsidRDefault="00746AAD">
      <w:r>
        <w:separator/>
      </w:r>
    </w:p>
  </w:endnote>
  <w:endnote w:type="continuationSeparator" w:id="0">
    <w:p w14:paraId="74E5CADB" w14:textId="77777777" w:rsidR="00000000" w:rsidRDefault="0074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9FC5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14:paraId="35B028C6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813C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14:paraId="518DC8DE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3094.9800 </w:t>
    </w:r>
    <w:r>
      <w:rPr>
        <w:color w:val="000000"/>
        <w:sz w:val="20"/>
        <w:szCs w:val="20"/>
      </w:rPr>
      <w:t xml:space="preserve"> </w:t>
    </w:r>
  </w:p>
  <w:p w14:paraId="475FBFF8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  <w:p w14:paraId="3F546655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19054B">
      <w:rPr>
        <w:rFonts w:ascii="Times New Roman" w:eastAsia="Times New Roman" w:hAnsi="Times New Roman" w:cs="Times New Roman"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23E6B188" w14:textId="77777777" w:rsidR="005B17A8" w:rsidRDefault="005B17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AD17" w14:textId="77777777" w:rsidR="005B17A8" w:rsidRDefault="005B17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C28D" w14:textId="77777777" w:rsidR="00000000" w:rsidRDefault="00746AAD">
      <w:r>
        <w:separator/>
      </w:r>
    </w:p>
  </w:footnote>
  <w:footnote w:type="continuationSeparator" w:id="0">
    <w:p w14:paraId="7F881192" w14:textId="77777777" w:rsidR="00000000" w:rsidRDefault="0074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8401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73754A8D" wp14:editId="75B9F2F0">
          <wp:simplePos x="0" y="0"/>
          <wp:positionH relativeFrom="column">
            <wp:posOffset>-1005835</wp:posOffset>
          </wp:positionH>
          <wp:positionV relativeFrom="paragraph">
            <wp:posOffset>-867407</wp:posOffset>
          </wp:positionV>
          <wp:extent cx="7571105" cy="9930765"/>
          <wp:effectExtent l="0" t="0" r="0" b="0"/>
          <wp:wrapNone/>
          <wp:docPr id="20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79A9DACB" wp14:editId="043B9676">
          <wp:simplePos x="0" y="0"/>
          <wp:positionH relativeFrom="column">
            <wp:posOffset>-1001392</wp:posOffset>
          </wp:positionH>
          <wp:positionV relativeFrom="paragraph">
            <wp:posOffset>-871217</wp:posOffset>
          </wp:positionV>
          <wp:extent cx="7571105" cy="9931400"/>
          <wp:effectExtent l="0" t="0" r="0" b="0"/>
          <wp:wrapNone/>
          <wp:docPr id="19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76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C98F" w14:textId="77777777" w:rsidR="005B17A8" w:rsidRDefault="00746A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D07D1F4" wp14:editId="300E7A79">
          <wp:simplePos x="0" y="0"/>
          <wp:positionH relativeFrom="column">
            <wp:posOffset>-1010917</wp:posOffset>
          </wp:positionH>
          <wp:positionV relativeFrom="paragraph">
            <wp:posOffset>-845817</wp:posOffset>
          </wp:positionV>
          <wp:extent cx="7569835" cy="974725"/>
          <wp:effectExtent l="0" t="0" r="0" b="0"/>
          <wp:wrapNone/>
          <wp:docPr id="18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5" cy="974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74A5" w14:textId="77777777" w:rsidR="005B17A8" w:rsidRDefault="005B17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A8"/>
    <w:rsid w:val="0019054B"/>
    <w:rsid w:val="005B17A8"/>
    <w:rsid w:val="0074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F620"/>
  <w15:docId w15:val="{97EDEC5D-1AA8-41A4-8740-7E98CBD8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564EF2"/>
    <w:rPr>
      <w:lang w:eastAsia="en-US"/>
    </w:rPr>
  </w:style>
  <w:style w:type="paragraph" w:customStyle="1" w:styleId="heading10">
    <w:name w:val="heading 10"/>
    <w:basedOn w:val="Normal0"/>
    <w:next w:val="Normal0"/>
    <w:link w:val="Ttulo1Char"/>
    <w:qFormat/>
    <w:rsid w:val="005F06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0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0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NormalTable0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0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NormalTable0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0"/>
    <w:qFormat/>
    <w:rsid w:val="00067339"/>
    <w:pPr>
      <w:ind w:left="708"/>
    </w:pPr>
  </w:style>
  <w:style w:type="paragraph" w:styleId="Textodebalo">
    <w:name w:val="Balloon Text"/>
    <w:basedOn w:val="Normal0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0"/>
    <w:link w:val="CorpodetextoChar"/>
    <w:uiPriority w:val="1"/>
    <w:qFormat/>
    <w:rsid w:val="00924B3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4B37"/>
    <w:rPr>
      <w:rFonts w:ascii="Times New Roman" w:eastAsia="Times New Roman" w:hAnsi="Times New Roman"/>
      <w:sz w:val="22"/>
      <w:szCs w:val="22"/>
      <w:lang w:val="pt-PT" w:eastAsia="en-US"/>
    </w:rPr>
  </w:style>
  <w:style w:type="paragraph" w:customStyle="1" w:styleId="TableParagraph">
    <w:name w:val="Table Paragraph"/>
    <w:basedOn w:val="Normal0"/>
    <w:uiPriority w:val="1"/>
    <w:qFormat/>
    <w:rsid w:val="00492A0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heading10"/>
    <w:rsid w:val="005F0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Refdenotaderodap">
    <w:name w:val="footnote reference"/>
    <w:basedOn w:val="Fontepargpadro"/>
    <w:rsid w:val="00FC76AC"/>
    <w:rPr>
      <w:position w:val="0"/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font71">
    <w:name w:val="font71"/>
    <w:basedOn w:val="Fontepargpadro"/>
    <w:rsid w:val="00EA292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Fontepargpadro"/>
    <w:rsid w:val="00EA292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01">
    <w:name w:val="font01"/>
    <w:basedOn w:val="Fontepargpadro"/>
    <w:rsid w:val="00EA292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Fontepargpadro"/>
    <w:rsid w:val="00EA2928"/>
    <w:rPr>
      <w:rFonts w:ascii="Calibri" w:hAnsi="Calibri" w:cs="Calibri" w:hint="default"/>
      <w:b w:val="0"/>
      <w:bCs w:val="0"/>
      <w:i w:val="0"/>
      <w:iCs w:val="0"/>
      <w:strike w:val="0"/>
      <w:dstrike w:val="0"/>
      <w:color w:val="0563C1"/>
      <w:sz w:val="22"/>
      <w:szCs w:val="22"/>
      <w:u w:val="none"/>
      <w:effect w:val="none"/>
    </w:rPr>
  </w:style>
  <w:style w:type="character" w:customStyle="1" w:styleId="font91">
    <w:name w:val="font91"/>
    <w:basedOn w:val="Fontepargpadro"/>
    <w:rsid w:val="00EA2928"/>
    <w:rPr>
      <w:rFonts w:ascii="Calibri" w:hAnsi="Calibri" w:cs="Calibri" w:hint="default"/>
      <w:b w:val="0"/>
      <w:bCs w:val="0"/>
      <w:i w:val="0"/>
      <w:iCs w:val="0"/>
      <w:color w:val="0563C1"/>
      <w:sz w:val="22"/>
      <w:szCs w:val="22"/>
      <w:u w:val="single"/>
    </w:r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enharia@grupoprominas.com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ngenharia@grupoprominas.com.b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genharia@grupoprominas.com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t+9TR3Q7RvLZt3VL5NNQ1VsXQ==">CgMxLjA4AHIhMVlQTWxZTi1rU2d6MzMwbWxld2IxbXpkXzRHSWEyUFdW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2631</Words>
  <Characters>14210</Characters>
  <Application>Microsoft Office Word</Application>
  <DocSecurity>0</DocSecurity>
  <Lines>118</Lines>
  <Paragraphs>33</Paragraphs>
  <ScaleCrop>false</ScaleCrop>
  <Company/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3</cp:revision>
  <cp:lastPrinted>2023-07-18T17:45:00Z</cp:lastPrinted>
  <dcterms:created xsi:type="dcterms:W3CDTF">2020-11-20T01:45:00Z</dcterms:created>
  <dcterms:modified xsi:type="dcterms:W3CDTF">2023-07-18T17:47:00Z</dcterms:modified>
</cp:coreProperties>
</file>