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3102" w14:textId="77777777" w:rsidR="007A38E8" w:rsidRDefault="007A3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0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258"/>
        <w:gridCol w:w="7098"/>
      </w:tblGrid>
      <w:tr w:rsidR="007A38E8" w14:paraId="25356267" w14:textId="77777777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3A8BE614" w14:textId="77777777" w:rsidR="007A38E8" w:rsidRDefault="009A3B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4066AA1" w14:textId="1E1FCAD6" w:rsidR="007A38E8" w:rsidRDefault="009A3B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Protocolo SICCAU nº </w:t>
            </w:r>
            <w:r w:rsidR="00C51A07" w:rsidRPr="00C51A07">
              <w:rPr>
                <w:rFonts w:ascii="Calibri" w:eastAsia="Calibri" w:hAnsi="Calibri" w:cs="Calibri"/>
              </w:rPr>
              <w:t>1783475</w:t>
            </w:r>
            <w:r>
              <w:rPr>
                <w:rFonts w:ascii="Calibri" w:eastAsia="Calibri" w:hAnsi="Calibri" w:cs="Calibri"/>
              </w:rPr>
              <w:t>/2023</w:t>
            </w:r>
          </w:p>
        </w:tc>
      </w:tr>
      <w:tr w:rsidR="007A38E8" w14:paraId="4D71E315" w14:textId="77777777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C0CE0F0" w14:textId="77777777" w:rsidR="007A38E8" w:rsidRDefault="009A3B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51E10A8" w14:textId="77777777" w:rsidR="007A38E8" w:rsidRDefault="009A3BE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CAU/RS</w:t>
            </w:r>
          </w:p>
        </w:tc>
      </w:tr>
      <w:tr w:rsidR="007A38E8" w14:paraId="70A8B701" w14:textId="77777777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521859B" w14:textId="77777777" w:rsidR="007A38E8" w:rsidRDefault="009A3B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20F5125" w14:textId="143A0396" w:rsidR="007A38E8" w:rsidRDefault="009A3BE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CARTA DE </w:t>
            </w:r>
            <w:r w:rsidR="009D6DE0">
              <w:rPr>
                <w:rFonts w:ascii="Calibri" w:eastAsia="Calibri" w:hAnsi="Calibri" w:cs="Calibri"/>
              </w:rPr>
              <w:t>CAXIAS DO SUL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EF52D2">
              <w:rPr>
                <w:rFonts w:ascii="Calibri" w:eastAsia="Calibri" w:hAnsi="Calibri" w:cs="Calibri"/>
              </w:rPr>
              <w:t>MORADIA</w:t>
            </w:r>
          </w:p>
        </w:tc>
      </w:tr>
    </w:tbl>
    <w:p w14:paraId="138194E8" w14:textId="49DF7DA9" w:rsidR="007A38E8" w:rsidRDefault="009A3BE0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DELIBERAÇÃO PLENÁRIA DPO/RS Nº 16</w:t>
      </w:r>
      <w:r w:rsidR="009D6DE0">
        <w:rPr>
          <w:rFonts w:ascii="Calibri" w:eastAsia="Calibri" w:hAnsi="Calibri" w:cs="Calibri"/>
        </w:rPr>
        <w:t>5</w:t>
      </w:r>
      <w:r w:rsidR="006059B6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/2023</w:t>
      </w:r>
    </w:p>
    <w:p w14:paraId="6D3A3F5A" w14:textId="77777777" w:rsidR="007A38E8" w:rsidRDefault="007A38E8">
      <w:pPr>
        <w:tabs>
          <w:tab w:val="left" w:pos="1418"/>
        </w:tabs>
        <w:ind w:left="4820"/>
        <w:jc w:val="both"/>
        <w:rPr>
          <w:rFonts w:ascii="Calibri" w:eastAsia="Calibri" w:hAnsi="Calibri" w:cs="Calibri"/>
          <w:sz w:val="22"/>
          <w:szCs w:val="22"/>
        </w:rPr>
      </w:pPr>
    </w:p>
    <w:p w14:paraId="6E9D4CF0" w14:textId="56A88F4F" w:rsidR="007A38E8" w:rsidRPr="009D6DE0" w:rsidRDefault="009A3BE0">
      <w:pPr>
        <w:tabs>
          <w:tab w:val="left" w:pos="1418"/>
        </w:tabs>
        <w:ind w:left="5670"/>
        <w:jc w:val="both"/>
        <w:rPr>
          <w:rFonts w:ascii="Calibri" w:eastAsia="Calibri" w:hAnsi="Calibri" w:cs="Calibri"/>
          <w:i/>
          <w:sz w:val="22"/>
          <w:szCs w:val="22"/>
        </w:rPr>
      </w:pPr>
      <w:r w:rsidRPr="009D6DE0">
        <w:rPr>
          <w:rFonts w:ascii="Calibri" w:eastAsia="Calibri" w:hAnsi="Calibri" w:cs="Calibri"/>
          <w:i/>
          <w:sz w:val="22"/>
          <w:szCs w:val="22"/>
        </w:rPr>
        <w:t xml:space="preserve">Homologa a Carta de </w:t>
      </w:r>
      <w:r w:rsidR="009D6DE0" w:rsidRPr="009D6DE0">
        <w:rPr>
          <w:rFonts w:ascii="Calibri" w:eastAsia="Calibri" w:hAnsi="Calibri" w:cs="Calibri"/>
          <w:i/>
          <w:sz w:val="22"/>
          <w:szCs w:val="22"/>
        </w:rPr>
        <w:t>Caxias do Sul</w:t>
      </w:r>
      <w:r w:rsidRPr="009D6DE0">
        <w:rPr>
          <w:rFonts w:ascii="Calibri" w:eastAsia="Calibri" w:hAnsi="Calibri" w:cs="Calibri"/>
          <w:i/>
          <w:sz w:val="22"/>
          <w:szCs w:val="22"/>
        </w:rPr>
        <w:t xml:space="preserve"> que dispõe sobre </w:t>
      </w:r>
      <w:r w:rsidR="009D6DE0" w:rsidRPr="009D6DE0">
        <w:rPr>
          <w:rFonts w:ascii="Calibri" w:eastAsia="Calibri" w:hAnsi="Calibri" w:cs="Calibri"/>
          <w:i/>
          <w:sz w:val="22"/>
          <w:szCs w:val="22"/>
        </w:rPr>
        <w:t>Moradia</w:t>
      </w:r>
      <w:r w:rsidRPr="009D6DE0">
        <w:rPr>
          <w:rFonts w:ascii="Calibri" w:eastAsia="Calibri" w:hAnsi="Calibri" w:cs="Calibri"/>
          <w:i/>
          <w:sz w:val="22"/>
          <w:szCs w:val="22"/>
        </w:rPr>
        <w:t xml:space="preserve"> e dá outras providências.</w:t>
      </w:r>
    </w:p>
    <w:p w14:paraId="239D8D19" w14:textId="77777777" w:rsidR="007A38E8" w:rsidRDefault="007A38E8">
      <w:pPr>
        <w:tabs>
          <w:tab w:val="left" w:pos="1418"/>
        </w:tabs>
        <w:ind w:left="5670"/>
        <w:jc w:val="both"/>
        <w:rPr>
          <w:rFonts w:ascii="Calibri" w:eastAsia="Calibri" w:hAnsi="Calibri" w:cs="Calibri"/>
        </w:rPr>
      </w:pPr>
    </w:p>
    <w:p w14:paraId="5EE23B71" w14:textId="6E23215D" w:rsidR="007A38E8" w:rsidRDefault="009D6DE0">
      <w:pPr>
        <w:tabs>
          <w:tab w:val="left" w:pos="1418"/>
        </w:tabs>
        <w:jc w:val="both"/>
        <w:rPr>
          <w:rFonts w:ascii="Calibri" w:eastAsia="Calibri" w:hAnsi="Calibri" w:cs="Calibri"/>
        </w:rPr>
      </w:pPr>
      <w:r w:rsidRPr="009D6DE0">
        <w:rPr>
          <w:rFonts w:ascii="Calibri" w:eastAsia="Calibri" w:hAnsi="Calibri" w:cs="Calibri"/>
        </w:rPr>
        <w:t xml:space="preserve">O PLENÁRIO DO CONSELHO DE ARQUITETURA E URBANISMO DO RIO GRANDE DO SUL – CAU/RS no exercício das competências e prerrogativas de que trata o artigo 29 do Regimento Interno do CAU/RS reunido ordinariamente na Sala de Eventos do </w:t>
      </w:r>
      <w:proofErr w:type="spellStart"/>
      <w:r w:rsidRPr="009D6DE0">
        <w:rPr>
          <w:rFonts w:ascii="Calibri" w:eastAsia="Calibri" w:hAnsi="Calibri" w:cs="Calibri"/>
        </w:rPr>
        <w:t>Intercity</w:t>
      </w:r>
      <w:proofErr w:type="spellEnd"/>
      <w:r w:rsidRPr="009D6DE0">
        <w:rPr>
          <w:rFonts w:ascii="Calibri" w:eastAsia="Calibri" w:hAnsi="Calibri" w:cs="Calibri"/>
        </w:rPr>
        <w:t xml:space="preserve"> Hotel Caxias do Sul/RS (Av. Therezinha Pauletti </w:t>
      </w:r>
      <w:proofErr w:type="spellStart"/>
      <w:r w:rsidRPr="009D6DE0">
        <w:rPr>
          <w:rFonts w:ascii="Calibri" w:eastAsia="Calibri" w:hAnsi="Calibri" w:cs="Calibri"/>
        </w:rPr>
        <w:t>Sanvitto</w:t>
      </w:r>
      <w:proofErr w:type="spellEnd"/>
      <w:r w:rsidRPr="009D6DE0">
        <w:rPr>
          <w:rFonts w:ascii="Calibri" w:eastAsia="Calibri" w:hAnsi="Calibri" w:cs="Calibri"/>
        </w:rPr>
        <w:t>, 333) no dia 30 de junho de 2023, após análise do assunto em epígrafe, e</w:t>
      </w:r>
    </w:p>
    <w:p w14:paraId="7BB9E600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3A70396B" w14:textId="4FE5209D" w:rsidR="00EF2562" w:rsidRDefault="00EF2562" w:rsidP="00EF2562">
      <w:pPr>
        <w:jc w:val="both"/>
        <w:rPr>
          <w:rFonts w:ascii="Calibri" w:eastAsia="Calibri" w:hAnsi="Calibri" w:cs="Calibri"/>
        </w:rPr>
      </w:pPr>
      <w:r w:rsidRPr="00EF2562">
        <w:rPr>
          <w:rFonts w:ascii="Calibri" w:eastAsia="Calibri" w:hAnsi="Calibri" w:cs="Calibri"/>
        </w:rPr>
        <w:t xml:space="preserve">Considerando a participação do </w:t>
      </w:r>
      <w:r>
        <w:rPr>
          <w:rFonts w:ascii="Calibri" w:eastAsia="Calibri" w:hAnsi="Calibri" w:cs="Calibri"/>
        </w:rPr>
        <w:t>P</w:t>
      </w:r>
      <w:r w:rsidRPr="00EF2562">
        <w:rPr>
          <w:rFonts w:ascii="Calibri" w:eastAsia="Calibri" w:hAnsi="Calibri" w:cs="Calibri"/>
        </w:rPr>
        <w:t>romotor de Justiça</w:t>
      </w:r>
      <w:r>
        <w:rPr>
          <w:rFonts w:ascii="Calibri" w:eastAsia="Calibri" w:hAnsi="Calibri" w:cs="Calibri"/>
        </w:rPr>
        <w:t>, Dr.</w:t>
      </w:r>
      <w:r w:rsidRPr="00EF2562">
        <w:rPr>
          <w:rFonts w:ascii="Calibri" w:eastAsia="Calibri" w:hAnsi="Calibri" w:cs="Calibri"/>
        </w:rPr>
        <w:t xml:space="preserve"> </w:t>
      </w:r>
      <w:proofErr w:type="spellStart"/>
      <w:r w:rsidRPr="00EF2562">
        <w:rPr>
          <w:rFonts w:ascii="Calibri" w:eastAsia="Calibri" w:hAnsi="Calibri" w:cs="Calibri"/>
        </w:rPr>
        <w:t>Adrio</w:t>
      </w:r>
      <w:proofErr w:type="spellEnd"/>
      <w:r w:rsidRPr="00EF2562">
        <w:rPr>
          <w:rFonts w:ascii="Calibri" w:eastAsia="Calibri" w:hAnsi="Calibri" w:cs="Calibri"/>
        </w:rPr>
        <w:t xml:space="preserve"> Rafael Paula </w:t>
      </w:r>
      <w:proofErr w:type="spellStart"/>
      <w:r w:rsidRPr="00EF2562">
        <w:rPr>
          <w:rFonts w:ascii="Calibri" w:eastAsia="Calibri" w:hAnsi="Calibri" w:cs="Calibri"/>
        </w:rPr>
        <w:t>Gelatti</w:t>
      </w:r>
      <w:proofErr w:type="spellEnd"/>
      <w:r>
        <w:rPr>
          <w:rFonts w:ascii="Calibri" w:eastAsia="Calibri" w:hAnsi="Calibri" w:cs="Calibri"/>
        </w:rPr>
        <w:t xml:space="preserve">, representando o </w:t>
      </w:r>
      <w:r w:rsidRPr="00EF2562">
        <w:rPr>
          <w:rFonts w:ascii="Calibri" w:eastAsia="Calibri" w:hAnsi="Calibri" w:cs="Calibri"/>
        </w:rPr>
        <w:t>Ministério Público do Rio Grande do Sul</w:t>
      </w:r>
      <w:r>
        <w:rPr>
          <w:rFonts w:ascii="Calibri" w:eastAsia="Calibri" w:hAnsi="Calibri" w:cs="Calibri"/>
        </w:rPr>
        <w:t xml:space="preserve">; o Secretário da Habitação do </w:t>
      </w:r>
      <w:r w:rsidRPr="00EF2562">
        <w:rPr>
          <w:rFonts w:ascii="Calibri" w:eastAsia="Calibri" w:hAnsi="Calibri" w:cs="Calibri"/>
        </w:rPr>
        <w:t>Município de Caxias do Sul, Sr. Wagner Petrini</w:t>
      </w:r>
      <w:r>
        <w:rPr>
          <w:rFonts w:ascii="Calibri" w:eastAsia="Calibri" w:hAnsi="Calibri" w:cs="Calibri"/>
        </w:rPr>
        <w:t xml:space="preserve">, representando o Prefeito Municipal; o </w:t>
      </w:r>
      <w:r w:rsidRPr="00EF2562">
        <w:rPr>
          <w:rFonts w:ascii="Calibri" w:eastAsia="Calibri" w:hAnsi="Calibri" w:cs="Calibri"/>
        </w:rPr>
        <w:t xml:space="preserve">Vereador Felipe </w:t>
      </w:r>
      <w:proofErr w:type="spellStart"/>
      <w:r w:rsidRPr="00EF2562">
        <w:rPr>
          <w:rFonts w:ascii="Calibri" w:eastAsia="Calibri" w:hAnsi="Calibri" w:cs="Calibri"/>
        </w:rPr>
        <w:t>Gremelmaier</w:t>
      </w:r>
      <w:proofErr w:type="spellEnd"/>
      <w:r w:rsidRPr="00EF2562">
        <w:rPr>
          <w:rFonts w:ascii="Calibri" w:eastAsia="Calibri" w:hAnsi="Calibri" w:cs="Calibri"/>
        </w:rPr>
        <w:t xml:space="preserve">, representando </w:t>
      </w:r>
      <w:r>
        <w:rPr>
          <w:rFonts w:ascii="Calibri" w:eastAsia="Calibri" w:hAnsi="Calibri" w:cs="Calibri"/>
        </w:rPr>
        <w:t xml:space="preserve">o presidente da </w:t>
      </w:r>
      <w:r w:rsidRPr="00EF2562">
        <w:rPr>
          <w:rFonts w:ascii="Calibri" w:eastAsia="Calibri" w:hAnsi="Calibri" w:cs="Calibri"/>
        </w:rPr>
        <w:t>Câmara Municipal</w:t>
      </w:r>
      <w:r>
        <w:rPr>
          <w:rFonts w:ascii="Calibri" w:eastAsia="Calibri" w:hAnsi="Calibri" w:cs="Calibri"/>
        </w:rPr>
        <w:t xml:space="preserve">; o arquiteto e urbanista </w:t>
      </w:r>
      <w:r w:rsidRPr="00EF2562">
        <w:rPr>
          <w:rFonts w:ascii="Calibri" w:eastAsia="Calibri" w:hAnsi="Calibri" w:cs="Calibri"/>
        </w:rPr>
        <w:t>Maurício Rossini</w:t>
      </w:r>
      <w:r>
        <w:rPr>
          <w:rFonts w:ascii="Calibri" w:eastAsia="Calibri" w:hAnsi="Calibri" w:cs="Calibri"/>
        </w:rPr>
        <w:t xml:space="preserve">, presidente do Núcleo Caxias do Sul do IAB/RS (Instituto de Arquitetos do Brasil – Departamento Rio Grande do Sul); a arquiteta e urbanista </w:t>
      </w:r>
      <w:r w:rsidRPr="00EF2562">
        <w:rPr>
          <w:rFonts w:ascii="Calibri" w:eastAsia="Calibri" w:hAnsi="Calibri" w:cs="Calibri"/>
        </w:rPr>
        <w:t xml:space="preserve">Manuela </w:t>
      </w:r>
      <w:proofErr w:type="spellStart"/>
      <w:r w:rsidRPr="00EF2562">
        <w:rPr>
          <w:rFonts w:ascii="Calibri" w:eastAsia="Calibri" w:hAnsi="Calibri" w:cs="Calibri"/>
        </w:rPr>
        <w:t>Rettore</w:t>
      </w:r>
      <w:proofErr w:type="spellEnd"/>
      <w:r>
        <w:rPr>
          <w:rFonts w:ascii="Calibri" w:eastAsia="Calibri" w:hAnsi="Calibri" w:cs="Calibri"/>
        </w:rPr>
        <w:t xml:space="preserve">, representando o </w:t>
      </w:r>
      <w:r w:rsidRPr="00EF2562">
        <w:rPr>
          <w:rFonts w:ascii="Calibri" w:eastAsia="Calibri" w:hAnsi="Calibri" w:cs="Calibri"/>
        </w:rPr>
        <w:t>Coletivo Meio</w:t>
      </w:r>
      <w:r>
        <w:rPr>
          <w:rFonts w:ascii="Calibri" w:eastAsia="Calibri" w:hAnsi="Calibri" w:cs="Calibri"/>
        </w:rPr>
        <w:t xml:space="preserve">; </w:t>
      </w:r>
      <w:r w:rsidR="00876C24">
        <w:rPr>
          <w:rFonts w:ascii="Calibri" w:eastAsia="Calibri" w:hAnsi="Calibri" w:cs="Calibri"/>
        </w:rPr>
        <w:t xml:space="preserve">a arquiteta e urbanista </w:t>
      </w:r>
      <w:r w:rsidRPr="00EF2562">
        <w:rPr>
          <w:rFonts w:ascii="Calibri" w:eastAsia="Calibri" w:hAnsi="Calibri" w:cs="Calibri"/>
        </w:rPr>
        <w:t xml:space="preserve">Marta </w:t>
      </w:r>
      <w:proofErr w:type="spellStart"/>
      <w:r w:rsidRPr="00EF2562">
        <w:rPr>
          <w:rFonts w:ascii="Calibri" w:eastAsia="Calibri" w:hAnsi="Calibri" w:cs="Calibri"/>
        </w:rPr>
        <w:t>Galafassi</w:t>
      </w:r>
      <w:proofErr w:type="spellEnd"/>
      <w:r w:rsidR="00876C24">
        <w:rPr>
          <w:rFonts w:ascii="Calibri" w:eastAsia="Calibri" w:hAnsi="Calibri" w:cs="Calibri"/>
        </w:rPr>
        <w:t xml:space="preserve">, representando a </w:t>
      </w:r>
      <w:r w:rsidRPr="00EF2562">
        <w:rPr>
          <w:rFonts w:ascii="Calibri" w:eastAsia="Calibri" w:hAnsi="Calibri" w:cs="Calibri"/>
        </w:rPr>
        <w:t>AFEA</w:t>
      </w:r>
      <w:r w:rsidR="00876C24">
        <w:rPr>
          <w:rFonts w:ascii="Calibri" w:eastAsia="Calibri" w:hAnsi="Calibri" w:cs="Calibri"/>
        </w:rPr>
        <w:t xml:space="preserve"> (</w:t>
      </w:r>
      <w:r w:rsidR="00876C24" w:rsidRPr="00876C24">
        <w:rPr>
          <w:rFonts w:ascii="Calibri" w:eastAsia="Calibri" w:hAnsi="Calibri" w:cs="Calibri"/>
        </w:rPr>
        <w:t>Associação Farroupilhense de Engenheiros, Arquitetos e Agrônomos</w:t>
      </w:r>
      <w:r w:rsidR="00876C24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; a Conselheira</w:t>
      </w:r>
      <w:r w:rsidR="00876C24">
        <w:rPr>
          <w:rFonts w:ascii="Calibri" w:eastAsia="Calibri" w:hAnsi="Calibri" w:cs="Calibri"/>
        </w:rPr>
        <w:t xml:space="preserve"> </w:t>
      </w:r>
      <w:r w:rsidRPr="00EF2562">
        <w:rPr>
          <w:rFonts w:ascii="Calibri" w:eastAsia="Calibri" w:hAnsi="Calibri" w:cs="Calibri"/>
        </w:rPr>
        <w:t>Orildes Tres</w:t>
      </w:r>
      <w:r w:rsidR="00876C24">
        <w:rPr>
          <w:rFonts w:ascii="Calibri" w:eastAsia="Calibri" w:hAnsi="Calibri" w:cs="Calibri"/>
        </w:rPr>
        <w:t xml:space="preserve">, representando a </w:t>
      </w:r>
      <w:r w:rsidRPr="00EF2562">
        <w:rPr>
          <w:rFonts w:ascii="Calibri" w:eastAsia="Calibri" w:hAnsi="Calibri" w:cs="Calibri"/>
        </w:rPr>
        <w:t>SEAAQ</w:t>
      </w:r>
      <w:r w:rsidR="00876C24">
        <w:rPr>
          <w:rFonts w:ascii="Calibri" w:eastAsia="Calibri" w:hAnsi="Calibri" w:cs="Calibri"/>
        </w:rPr>
        <w:t xml:space="preserve"> (</w:t>
      </w:r>
      <w:r w:rsidRPr="00EF2562">
        <w:rPr>
          <w:rFonts w:ascii="Calibri" w:eastAsia="Calibri" w:hAnsi="Calibri" w:cs="Calibri"/>
        </w:rPr>
        <w:t>Associação dos Engenheiros, Arquitetos, Agrônomos, Químicos e Geólogos de Caxias do Sul</w:t>
      </w:r>
      <w:r w:rsidR="00876C24">
        <w:rPr>
          <w:rFonts w:ascii="Calibri" w:eastAsia="Calibri" w:hAnsi="Calibri" w:cs="Calibri"/>
        </w:rPr>
        <w:t xml:space="preserve">) e a Sra. </w:t>
      </w:r>
      <w:r w:rsidRPr="00EF2562">
        <w:rPr>
          <w:rFonts w:ascii="Calibri" w:eastAsia="Calibri" w:hAnsi="Calibri" w:cs="Calibri"/>
        </w:rPr>
        <w:t>Jéssica De Carli</w:t>
      </w:r>
      <w:r w:rsidR="00876C24">
        <w:rPr>
          <w:rFonts w:ascii="Calibri" w:eastAsia="Calibri" w:hAnsi="Calibri" w:cs="Calibri"/>
        </w:rPr>
        <w:t>, representando o</w:t>
      </w:r>
      <w:r w:rsidRPr="00EF2562">
        <w:rPr>
          <w:rFonts w:ascii="Calibri" w:eastAsia="Calibri" w:hAnsi="Calibri" w:cs="Calibri"/>
        </w:rPr>
        <w:t xml:space="preserve"> Instituto Samba</w:t>
      </w:r>
      <w:r w:rsidR="00876C24">
        <w:rPr>
          <w:rFonts w:ascii="Calibri" w:eastAsia="Calibri" w:hAnsi="Calibri" w:cs="Calibri"/>
        </w:rPr>
        <w:t>.</w:t>
      </w:r>
      <w:r w:rsidRPr="00EF2562">
        <w:rPr>
          <w:rFonts w:ascii="Calibri" w:eastAsia="Calibri" w:hAnsi="Calibri" w:cs="Calibri"/>
        </w:rPr>
        <w:t xml:space="preserve"> </w:t>
      </w:r>
    </w:p>
    <w:p w14:paraId="033B5D95" w14:textId="77777777" w:rsidR="00EF2562" w:rsidRDefault="00EF2562" w:rsidP="00EF2562">
      <w:pPr>
        <w:jc w:val="both"/>
        <w:rPr>
          <w:rFonts w:ascii="Calibri" w:eastAsia="Calibri" w:hAnsi="Calibri" w:cs="Calibri"/>
        </w:rPr>
      </w:pPr>
    </w:p>
    <w:p w14:paraId="5286C5CF" w14:textId="77777777" w:rsidR="006E4256" w:rsidRPr="00AC51A9" w:rsidRDefault="006E4256" w:rsidP="006E4256">
      <w:pPr>
        <w:tabs>
          <w:tab w:val="left" w:pos="426"/>
        </w:tabs>
        <w:spacing w:after="160" w:line="259" w:lineRule="auto"/>
        <w:jc w:val="both"/>
        <w:rPr>
          <w:rFonts w:asciiTheme="minorHAnsi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</w:t>
      </w:r>
      <w:r w:rsidRPr="00AC51A9">
        <w:rPr>
          <w:rFonts w:asciiTheme="minorHAnsi" w:eastAsia="Arial" w:hAnsiTheme="minorHAnsi" w:cstheme="minorHAnsi"/>
          <w:b/>
        </w:rPr>
        <w:t>o artigo 25 da</w:t>
      </w:r>
      <w:r w:rsidRPr="00AC51A9">
        <w:rPr>
          <w:rFonts w:asciiTheme="minorHAnsi" w:eastAsia="Arial" w:hAnsiTheme="minorHAnsi" w:cstheme="minorHAnsi"/>
        </w:rPr>
        <w:t xml:space="preserve"> </w:t>
      </w:r>
      <w:r w:rsidRPr="00AC51A9">
        <w:rPr>
          <w:rFonts w:asciiTheme="minorHAnsi" w:eastAsia="Arial" w:hAnsiTheme="minorHAnsi" w:cstheme="minorHAnsi"/>
          <w:b/>
        </w:rPr>
        <w:t>Declaração Universal dos Direitos Humanos</w:t>
      </w:r>
      <w:r w:rsidRPr="00AC51A9">
        <w:rPr>
          <w:rFonts w:asciiTheme="minorHAnsi" w:eastAsia="Arial" w:hAnsiTheme="minorHAnsi" w:cstheme="minorHAnsi"/>
        </w:rPr>
        <w:t xml:space="preserve"> (DUDH, 1948) que estabelece pela primeira vez a proteção do direito à moradia como um direito fundamental. “Todo ser humano tem direito a um padrão de vida capaz de assegurar a si e a sua família, saúde e bem-estar" incluído aí o DIREITO À HABITAÇÃO, assim entendido como DIREITO À MORADIA ADEQUADA, ou seja, a que oferece condições de salubridade, de segurança e um tamanho mínimo para que possa ser considerada habitável;</w:t>
      </w:r>
    </w:p>
    <w:p w14:paraId="175F657A" w14:textId="77777777" w:rsidR="006E4256" w:rsidRPr="00E66617" w:rsidRDefault="006E4256" w:rsidP="006E4256">
      <w:pPr>
        <w:tabs>
          <w:tab w:val="left" w:pos="426"/>
        </w:tabs>
        <w:spacing w:after="160" w:line="259" w:lineRule="auto"/>
        <w:jc w:val="both"/>
        <w:rPr>
          <w:rFonts w:asciiTheme="minorHAnsi" w:hAnsiTheme="minorHAnsi" w:cstheme="minorHAnsi"/>
        </w:rPr>
      </w:pPr>
      <w:r w:rsidRPr="00E66617">
        <w:rPr>
          <w:rFonts w:asciiTheme="minorHAnsi" w:eastAsia="Arial" w:hAnsiTheme="minorHAnsi" w:cstheme="minorHAnsi"/>
        </w:rPr>
        <w:t xml:space="preserve">Considerando que todos os 193 estados-membros da Organização das Nações Unidas, incluindo o Brasil, </w:t>
      </w:r>
      <w:r w:rsidRPr="00E66617">
        <w:rPr>
          <w:rFonts w:asciiTheme="minorHAnsi" w:hAnsiTheme="minorHAnsi" w:cstheme="minorHAnsi"/>
          <w:shd w:val="clear" w:color="auto" w:fill="F5F5F5"/>
        </w:rPr>
        <w:t xml:space="preserve">compuseram a Cúpula das Nações Unidas sobre o Desenvolvimento Sustentável, em 2015, a qual definiu os termos da “Agenda 2030”, contendo os </w:t>
      </w:r>
      <w:r w:rsidRPr="00E66617">
        <w:rPr>
          <w:rFonts w:asciiTheme="minorHAnsi" w:eastAsia="Arial" w:hAnsiTheme="minorHAnsi" w:cstheme="minorHAnsi"/>
        </w:rPr>
        <w:t>“Dezessete Objetivos de Desenvolvimento Sustentável”, entre os quais destaca-se “</w:t>
      </w:r>
      <w:r w:rsidRPr="00E66617">
        <w:rPr>
          <w:rFonts w:asciiTheme="minorHAnsi" w:hAnsiTheme="minorHAnsi" w:cstheme="minorHAnsi"/>
        </w:rPr>
        <w:t>Tornar as cidades e os assentamentos humanos inclusivos, seguros, resilientes e sustentáveis”,</w:t>
      </w:r>
    </w:p>
    <w:p w14:paraId="41C4B38A" w14:textId="77777777" w:rsidR="006E4256" w:rsidRPr="00E66617" w:rsidRDefault="006E4256" w:rsidP="006E4256">
      <w:pPr>
        <w:tabs>
          <w:tab w:val="left" w:pos="426"/>
        </w:tabs>
        <w:spacing w:after="160" w:line="259" w:lineRule="auto"/>
        <w:jc w:val="both"/>
        <w:rPr>
          <w:rFonts w:asciiTheme="minorHAnsi" w:hAnsiTheme="minorHAnsi" w:cstheme="minorHAnsi"/>
        </w:rPr>
      </w:pPr>
      <w:r w:rsidRPr="00E66617">
        <w:rPr>
          <w:rFonts w:asciiTheme="minorHAnsi" w:hAnsiTheme="minorHAnsi" w:cstheme="minorHAnsi"/>
        </w:rPr>
        <w:t xml:space="preserve">Considerando que em relação à Agenda 2030 a ONU definiu a </w:t>
      </w:r>
      <w:r w:rsidRPr="00E66617">
        <w:rPr>
          <w:rFonts w:asciiTheme="minorHAnsi" w:eastAsia="Times New Roman" w:hAnsiTheme="minorHAnsi" w:cstheme="minorHAnsi"/>
        </w:rPr>
        <w:t>Meta 11.1</w:t>
      </w:r>
      <w:r w:rsidRPr="00E66617">
        <w:rPr>
          <w:rFonts w:asciiTheme="minorHAnsi" w:hAnsiTheme="minorHAnsi" w:cstheme="minorHAnsi"/>
        </w:rPr>
        <w:t>, a fim de</w:t>
      </w:r>
      <w:r w:rsidRPr="00E66617">
        <w:rPr>
          <w:rFonts w:asciiTheme="minorHAnsi" w:eastAsia="Times New Roman" w:hAnsiTheme="minorHAnsi" w:cstheme="minorHAnsi"/>
        </w:rPr>
        <w:t xml:space="preserve"> garantir</w:t>
      </w:r>
      <w:r w:rsidRPr="00E66617">
        <w:rPr>
          <w:rFonts w:asciiTheme="minorHAnsi" w:hAnsiTheme="minorHAnsi" w:cstheme="minorHAnsi"/>
        </w:rPr>
        <w:t>, até 2030,</w:t>
      </w:r>
      <w:r w:rsidRPr="00E66617">
        <w:rPr>
          <w:rFonts w:asciiTheme="minorHAnsi" w:eastAsia="Times New Roman" w:hAnsiTheme="minorHAnsi" w:cstheme="minorHAnsi"/>
        </w:rPr>
        <w:t xml:space="preserve"> o acesso de toda a população do planeta à habitação segura, adequada e a preço acessível, bem aos serviços básicos e à urbanização das favelas;</w:t>
      </w:r>
    </w:p>
    <w:p w14:paraId="32289425" w14:textId="77777777" w:rsidR="006E4256" w:rsidRPr="00E66617" w:rsidRDefault="006E4256" w:rsidP="006E4256">
      <w:pPr>
        <w:tabs>
          <w:tab w:val="left" w:pos="426"/>
        </w:tabs>
        <w:spacing w:after="160" w:line="259" w:lineRule="auto"/>
        <w:jc w:val="both"/>
        <w:rPr>
          <w:rFonts w:asciiTheme="minorHAnsi" w:hAnsiTheme="minorHAnsi" w:cstheme="minorHAnsi"/>
        </w:rPr>
      </w:pPr>
      <w:r w:rsidRPr="00E66617">
        <w:rPr>
          <w:rFonts w:asciiTheme="minorHAnsi" w:hAnsiTheme="minorHAnsi" w:cstheme="minorHAnsi"/>
        </w:rPr>
        <w:lastRenderedPageBreak/>
        <w:t>Considerando que aqui no Brasil o tema do item anterior foi disposto como disposto como garantir até 2030 o acesso de todos a moradia digna, adequada e a preço acessível; aos serviços básicos e urbanização dos assentamentos precários de acordo com as metas assumidas no Plano Nacional de Habitação, com especial atenção para grupos em situação de vulnerabilidade;</w:t>
      </w:r>
    </w:p>
    <w:p w14:paraId="59C80F34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os </w:t>
      </w:r>
      <w:r w:rsidRPr="00AC51A9">
        <w:rPr>
          <w:rFonts w:asciiTheme="minorHAnsi" w:eastAsia="Arial" w:hAnsiTheme="minorHAnsi" w:cstheme="minorHAnsi"/>
          <w:b/>
        </w:rPr>
        <w:t>artigos 182 e 183 da Constituição Federal</w:t>
      </w:r>
      <w:r w:rsidRPr="00AC51A9">
        <w:rPr>
          <w:rFonts w:asciiTheme="minorHAnsi" w:eastAsia="Arial" w:hAnsiTheme="minorHAnsi" w:cstheme="minorHAnsi"/>
        </w:rPr>
        <w:t xml:space="preserve"> que compõem o capítulo acerca da Política Urbana e estabelecem a base para a política de desenvolvimento urbano, ordenamento do território e de gestão urbana objetivando o pleno desenvolvimento das funções sociais da cidade e garantir o bem estar de seus habitantes;</w:t>
      </w:r>
    </w:p>
    <w:p w14:paraId="6AFC2DD5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que, a partir da </w:t>
      </w:r>
      <w:r w:rsidRPr="00AC51A9">
        <w:rPr>
          <w:rFonts w:asciiTheme="minorHAnsi" w:eastAsia="Arial" w:hAnsiTheme="minorHAnsi" w:cstheme="minorHAnsi"/>
          <w:b/>
        </w:rPr>
        <w:t>Emenda constitucional nº 26/2000</w:t>
      </w:r>
      <w:r w:rsidRPr="00AC51A9">
        <w:rPr>
          <w:rFonts w:asciiTheme="minorHAnsi" w:eastAsia="Arial" w:hAnsiTheme="minorHAnsi" w:cstheme="minorHAnsi"/>
        </w:rPr>
        <w:t>, a moradia torna-se um direito social fundamental assim como a educação, a saúde, a alimentação, o trabalho, o lazer, a segurança, a previdência social, a proteção à materialidade e à infância, a assistência aos desamparados, a todos os cidadãos, conforme previsto no artigo 6º da Constituição Federal;</w:t>
      </w:r>
    </w:p>
    <w:p w14:paraId="67772C74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o artigo 4º, inciso V, alínea r, da Lei nº 10.257/2001, denominada </w:t>
      </w:r>
      <w:r w:rsidRPr="00AC51A9">
        <w:rPr>
          <w:rFonts w:asciiTheme="minorHAnsi" w:eastAsia="Arial" w:hAnsiTheme="minorHAnsi" w:cstheme="minorHAnsi"/>
          <w:b/>
        </w:rPr>
        <w:t>Estatuto da Cidade</w:t>
      </w:r>
      <w:r w:rsidRPr="00AC51A9">
        <w:rPr>
          <w:rFonts w:asciiTheme="minorHAnsi" w:eastAsia="Arial" w:hAnsiTheme="minorHAnsi" w:cstheme="minorHAnsi"/>
        </w:rPr>
        <w:t>, que estabelece dentre os instrumentos da política urbana, a assistência técnica e jurídica gratuita para comunidades e grupos sociais de baixa renda;</w:t>
      </w:r>
    </w:p>
    <w:p w14:paraId="61F14384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a Lei nº 11.124/2005, que institui o </w:t>
      </w:r>
      <w:r w:rsidRPr="00AC51A9">
        <w:rPr>
          <w:rFonts w:asciiTheme="minorHAnsi" w:eastAsia="Arial" w:hAnsiTheme="minorHAnsi" w:cstheme="minorHAnsi"/>
          <w:b/>
        </w:rPr>
        <w:t>Sistema Nacional de Habitação de Interesse Social (SNHIS)</w:t>
      </w:r>
      <w:r w:rsidRPr="00AC51A9">
        <w:rPr>
          <w:rFonts w:asciiTheme="minorHAnsi" w:eastAsia="Arial" w:hAnsiTheme="minorHAnsi" w:cstheme="minorHAnsi"/>
        </w:rPr>
        <w:t xml:space="preserve"> com o objetivo de implementar políticas e programas de investimentos e subsídios advindos do Fundo Nacional de Habitação de Interesse Social para viabilizar o acesso à terra urbanizada e à moradia digna e sustentável às populações de menor renda;</w:t>
      </w:r>
    </w:p>
    <w:p w14:paraId="7FB815F0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2804D4">
        <w:rPr>
          <w:rFonts w:asciiTheme="minorHAnsi" w:eastAsia="Arial" w:hAnsiTheme="minorHAnsi" w:cstheme="minorHAnsi"/>
        </w:rPr>
        <w:t xml:space="preserve">Considerando a Lei 11.888/2008, </w:t>
      </w:r>
      <w:r w:rsidRPr="002804D4">
        <w:rPr>
          <w:rFonts w:asciiTheme="minorHAnsi" w:eastAsia="Arial" w:hAnsiTheme="minorHAnsi" w:cstheme="minorHAnsi"/>
          <w:b/>
        </w:rPr>
        <w:t>Lei de Assistência Técnica para Habitação de Interesse Social</w:t>
      </w:r>
      <w:r w:rsidRPr="002804D4">
        <w:rPr>
          <w:rFonts w:asciiTheme="minorHAnsi" w:eastAsia="Arial" w:hAnsiTheme="minorHAnsi" w:cstheme="minorHAnsi"/>
        </w:rPr>
        <w:t xml:space="preserve">, a iniciativa dos deputados federais e arquitetos Clovis Ilgenfritz da Silva (PT/RS) e </w:t>
      </w:r>
      <w:proofErr w:type="spellStart"/>
      <w:r w:rsidRPr="002804D4">
        <w:rPr>
          <w:rFonts w:asciiTheme="minorHAnsi" w:eastAsia="Arial" w:hAnsiTheme="minorHAnsi" w:cstheme="minorHAnsi"/>
        </w:rPr>
        <w:t>Zezéu</w:t>
      </w:r>
      <w:proofErr w:type="spellEnd"/>
      <w:r w:rsidRPr="002804D4">
        <w:rPr>
          <w:rFonts w:asciiTheme="minorHAnsi" w:eastAsia="Arial" w:hAnsiTheme="minorHAnsi" w:cstheme="minorHAnsi"/>
        </w:rPr>
        <w:t xml:space="preserve"> Ribeiro (PT/BA), que assegura às famílias de baixa</w:t>
      </w:r>
      <w:r w:rsidRPr="00AC51A9">
        <w:rPr>
          <w:rFonts w:asciiTheme="minorHAnsi" w:eastAsia="Arial" w:hAnsiTheme="minorHAnsi" w:cstheme="minorHAnsi"/>
        </w:rPr>
        <w:t xml:space="preserve"> renda assistência técnica pública e gratuita para o projeto e a construção de habitação de interesse social;</w:t>
      </w:r>
    </w:p>
    <w:p w14:paraId="542E831C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>Considerando que o objetivo final da Assistência Técnica é a universalização do acesso aos serviços de Arquitetura e Urbanismo, reafirmando o papel social da profissão perante a sociedade, e tendo em conta que é dever do Conselho oferecer segurança e qualidade de trabalho técnico, protegendo a sociedade dos riscos da autoconstrução e do trabalho dos leigos;</w:t>
      </w:r>
    </w:p>
    <w:p w14:paraId="1768AACE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a possibilidade de ampliar a atuação </w:t>
      </w:r>
      <w:r w:rsidRPr="002804D4">
        <w:rPr>
          <w:rFonts w:asciiTheme="minorHAnsi" w:eastAsia="Arial" w:hAnsiTheme="minorHAnsi" w:cstheme="minorHAnsi"/>
        </w:rPr>
        <w:t>profissional remunerada do arquiteto e urbanista que passará a atender às camadas</w:t>
      </w:r>
      <w:r w:rsidRPr="00AC51A9">
        <w:rPr>
          <w:rFonts w:asciiTheme="minorHAnsi" w:eastAsia="Arial" w:hAnsiTheme="minorHAnsi" w:cstheme="minorHAnsi"/>
        </w:rPr>
        <w:t xml:space="preserve"> da população que historicamente não têm acesso ao trabalho profissional;</w:t>
      </w:r>
    </w:p>
    <w:p w14:paraId="256D6E50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>Considerando que, passados 15 anos da promulgação da Lei nº 11.888/2008, a sua implantação ainda não é efetiva, apesar de inúmeras iniciativas de entidades e da administração pública;</w:t>
      </w:r>
    </w:p>
    <w:p w14:paraId="722DC5DB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que, no Rio Grande do Sul, cerca de 48% dos domicílios particulares encontram-se na faixa de renda domiciliar de até 3 salários-mínimos, ou seja, aproximadamente 2 milhões de </w:t>
      </w:r>
      <w:r w:rsidRPr="002804D4">
        <w:rPr>
          <w:rFonts w:asciiTheme="minorHAnsi" w:eastAsia="Arial" w:hAnsiTheme="minorHAnsi" w:cstheme="minorHAnsi"/>
        </w:rPr>
        <w:t>famílias com direito a serem</w:t>
      </w:r>
      <w:r w:rsidRPr="00AC51A9">
        <w:rPr>
          <w:rFonts w:asciiTheme="minorHAnsi" w:eastAsia="Arial" w:hAnsiTheme="minorHAnsi" w:cstheme="minorHAnsi"/>
        </w:rPr>
        <w:t xml:space="preserve"> atendidas pela Lei 11.888/2008 (IBGE, 2010);</w:t>
      </w:r>
    </w:p>
    <w:p w14:paraId="610C57BF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que a esta enorme faixa da população resta apenas melhorar suas condições de moradia sem apoio público e através principalmente da autoconstrução, sem qualquer </w:t>
      </w:r>
      <w:r w:rsidRPr="00AC51A9">
        <w:rPr>
          <w:rFonts w:asciiTheme="minorHAnsi" w:eastAsia="Arial" w:hAnsiTheme="minorHAnsi" w:cstheme="minorHAnsi"/>
        </w:rPr>
        <w:lastRenderedPageBreak/>
        <w:t>orientação profissional, expondo-se a risco de morte, inclusive, por conta justamente da falta de assistência técnica;</w:t>
      </w:r>
    </w:p>
    <w:p w14:paraId="318F1786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>Considerando que o acesso à assistência técnica dos profissionais de arquitetura e urbanismo é, inquestionavelmente, um direito constitucional de todo cidadão e cidadã, com expressa previsão legal na Lei 11.888/2008, mas mesmo assim praticamente ausente do conjunto de políticas públicas oferecidas à população de baixa renda;</w:t>
      </w:r>
    </w:p>
    <w:p w14:paraId="5986410D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AC51A9">
        <w:rPr>
          <w:rFonts w:asciiTheme="minorHAnsi" w:eastAsia="Arial" w:hAnsiTheme="minorHAnsi" w:cstheme="minorHAnsi"/>
        </w:rPr>
        <w:t>Considerando o protagonismo de arquitetos gaúchos que</w:t>
      </w:r>
      <w:r>
        <w:rPr>
          <w:rFonts w:asciiTheme="minorHAnsi" w:eastAsia="Arial" w:hAnsiTheme="minorHAnsi" w:cstheme="minorHAnsi"/>
        </w:rPr>
        <w:t xml:space="preserve"> </w:t>
      </w:r>
      <w:r w:rsidRPr="002804D4">
        <w:rPr>
          <w:rFonts w:asciiTheme="minorHAnsi" w:eastAsia="Arial" w:hAnsiTheme="minorHAnsi" w:cstheme="minorHAnsi"/>
        </w:rPr>
        <w:t>elaboraram, liderados por Clovis Ilgenfritz da Silva e com o apoio do Sindicato dos Arquiteto</w:t>
      </w:r>
      <w:r w:rsidRPr="00AC51A9">
        <w:rPr>
          <w:rFonts w:asciiTheme="minorHAnsi" w:eastAsia="Arial" w:hAnsiTheme="minorHAnsi" w:cstheme="minorHAnsi"/>
        </w:rPr>
        <w:t xml:space="preserve">s do Estado do Rio Grande do Sul (SAERGS), a gênese da "assistência técnica", representado pelo </w:t>
      </w:r>
      <w:r w:rsidRPr="00AC51A9">
        <w:rPr>
          <w:rFonts w:asciiTheme="minorHAnsi" w:eastAsia="Arial" w:hAnsiTheme="minorHAnsi" w:cstheme="minorHAnsi"/>
          <w:b/>
        </w:rPr>
        <w:t>Programa de Assistência Técnica à Moradia Econômica</w:t>
      </w:r>
      <w:r w:rsidRPr="00AC51A9">
        <w:rPr>
          <w:rFonts w:asciiTheme="minorHAnsi" w:eastAsia="Arial" w:hAnsiTheme="minorHAnsi" w:cstheme="minorHAnsi"/>
        </w:rPr>
        <w:t xml:space="preserve"> (ATME, 1976);</w:t>
      </w:r>
    </w:p>
    <w:p w14:paraId="0E7A739B" w14:textId="77777777" w:rsidR="006E4256" w:rsidRPr="00AC51A9" w:rsidRDefault="006E4256" w:rsidP="006E4256">
      <w:pPr>
        <w:tabs>
          <w:tab w:val="left" w:pos="5340"/>
        </w:tabs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</w:t>
      </w:r>
      <w:r w:rsidRPr="00AC51A9">
        <w:rPr>
          <w:rFonts w:asciiTheme="minorHAnsi" w:eastAsia="Arial" w:hAnsiTheme="minorHAnsi" w:cstheme="minorHAnsi"/>
          <w:b/>
        </w:rPr>
        <w:t>pesquisa</w:t>
      </w:r>
      <w:r w:rsidRPr="00AC51A9">
        <w:rPr>
          <w:rFonts w:asciiTheme="minorHAnsi" w:eastAsia="Arial" w:hAnsiTheme="minorHAnsi" w:cstheme="minorHAnsi"/>
        </w:rPr>
        <w:t xml:space="preserve"> realizada pelo </w:t>
      </w:r>
      <w:r w:rsidRPr="00AC51A9">
        <w:rPr>
          <w:rFonts w:asciiTheme="minorHAnsi" w:eastAsia="Arial" w:hAnsiTheme="minorHAnsi" w:cstheme="minorHAnsi"/>
          <w:b/>
        </w:rPr>
        <w:t>Instituto Datafolha e CAU/BR</w:t>
      </w:r>
      <w:r w:rsidRPr="00AC51A9">
        <w:rPr>
          <w:rFonts w:asciiTheme="minorHAnsi" w:eastAsia="Arial" w:hAnsiTheme="minorHAnsi" w:cstheme="minorHAnsi"/>
        </w:rPr>
        <w:t>,</w:t>
      </w:r>
      <w:r w:rsidRPr="00AC51A9">
        <w:rPr>
          <w:rFonts w:asciiTheme="minorHAnsi" w:eastAsia="Arial" w:hAnsiTheme="minorHAnsi" w:cstheme="minorHAnsi"/>
          <w:b/>
        </w:rPr>
        <w:t xml:space="preserve"> </w:t>
      </w:r>
      <w:r w:rsidRPr="00AC51A9">
        <w:rPr>
          <w:rFonts w:asciiTheme="minorHAnsi" w:eastAsia="Arial" w:hAnsiTheme="minorHAnsi" w:cstheme="minorHAnsi"/>
        </w:rPr>
        <w:t>em 2015, sobre a opinião da população brasileira em relação à Arquitetura e Urbanismo</w:t>
      </w:r>
      <w:r w:rsidRPr="00AC51A9">
        <w:rPr>
          <w:rStyle w:val="ncoradanotaderodap"/>
          <w:rFonts w:asciiTheme="minorHAnsi" w:eastAsia="Arial" w:hAnsiTheme="minorHAnsi" w:cstheme="minorHAnsi"/>
        </w:rPr>
        <w:footnoteReference w:id="1"/>
      </w:r>
      <w:r w:rsidRPr="00AC51A9">
        <w:rPr>
          <w:rFonts w:asciiTheme="minorHAnsi" w:eastAsia="Arial" w:hAnsiTheme="minorHAnsi" w:cstheme="minorHAnsi"/>
        </w:rPr>
        <w:t>, demonstra que entre aqueles que construíram ou reformaram (54% dos entrevistados) apenas 15% utilizaram os serviços de um arquiteto e urbanista ou engenheiro na sua obra;</w:t>
      </w:r>
    </w:p>
    <w:p w14:paraId="0AB1B9A9" w14:textId="77777777" w:rsidR="006E4256" w:rsidRPr="002804D4" w:rsidRDefault="006E4256" w:rsidP="006E425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a recente publicação do </w:t>
      </w:r>
      <w:r w:rsidRPr="00AC51A9">
        <w:rPr>
          <w:rFonts w:asciiTheme="minorHAnsi" w:eastAsia="Arial" w:hAnsiTheme="minorHAnsi" w:cstheme="minorHAnsi"/>
          <w:b/>
        </w:rPr>
        <w:t>Déficit Habitacional no Brasil</w:t>
      </w:r>
      <w:r w:rsidRPr="00AC51A9">
        <w:rPr>
          <w:rFonts w:asciiTheme="minorHAnsi" w:eastAsia="Arial" w:hAnsiTheme="minorHAnsi" w:cstheme="minorHAnsi"/>
        </w:rPr>
        <w:t xml:space="preserve"> realizado pela Fundação João Pinheiro (FJP, 2019) mostra que o déficit registrado nos municípios brasileiros ainda representa um </w:t>
      </w:r>
      <w:r w:rsidRPr="00AC51A9">
        <w:rPr>
          <w:rFonts w:asciiTheme="minorHAnsi" w:eastAsia="Arial" w:hAnsiTheme="minorHAnsi" w:cstheme="minorHAnsi"/>
          <w:b/>
        </w:rPr>
        <w:t>déficit qualitativo</w:t>
      </w:r>
      <w:r w:rsidRPr="00AC51A9">
        <w:rPr>
          <w:rFonts w:asciiTheme="minorHAnsi" w:eastAsia="Arial" w:hAnsiTheme="minorHAnsi" w:cstheme="minorHAnsi"/>
        </w:rPr>
        <w:t>, ou seja, não traduz na necessidade de produção por novas unidades habitacionais, mas sim de adequação dessas habitações</w:t>
      </w:r>
      <w:r>
        <w:rPr>
          <w:rFonts w:asciiTheme="minorHAnsi" w:eastAsia="Arial" w:hAnsiTheme="minorHAnsi" w:cstheme="minorHAnsi"/>
        </w:rPr>
        <w:t>;</w:t>
      </w:r>
    </w:p>
    <w:p w14:paraId="5F2C2C49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Considerando que d</w:t>
      </w:r>
      <w:r w:rsidRPr="00AC51A9">
        <w:rPr>
          <w:rFonts w:asciiTheme="minorHAnsi" w:eastAsia="Arial" w:hAnsiTheme="minorHAnsi" w:cstheme="minorHAnsi"/>
        </w:rPr>
        <w:t xml:space="preserve">e acordo com esse estudo, no Brasil existem cerca de 24,8 milhões de domicílios </w:t>
      </w:r>
      <w:r w:rsidRPr="002804D4">
        <w:rPr>
          <w:rFonts w:asciiTheme="minorHAnsi" w:eastAsia="Arial" w:hAnsiTheme="minorHAnsi" w:cstheme="minorHAnsi"/>
        </w:rPr>
        <w:t>inadequados, representando 80% do déficit total, em termos de carências de infraestrutura</w:t>
      </w:r>
      <w:r w:rsidRPr="00AC51A9">
        <w:rPr>
          <w:rFonts w:asciiTheme="minorHAnsi" w:eastAsia="Arial" w:hAnsiTheme="minorHAnsi" w:cstheme="minorHAnsi"/>
        </w:rPr>
        <w:t xml:space="preserve"> urbana, ausências de banheiros ou sanitários, inadequação de telhados, necessidade de ampliação de cômodos (para os casos de adensamento excessivo), entre outros elementos de precariedade habitacional que configuram a necessidade de promoção de programas de melhorias habitacionais no país;</w:t>
      </w:r>
    </w:p>
    <w:p w14:paraId="3CABC695" w14:textId="77777777" w:rsidR="006E4256" w:rsidRPr="00AC51A9" w:rsidRDefault="006E4256" w:rsidP="006E4256">
      <w:pPr>
        <w:tabs>
          <w:tab w:val="left" w:pos="5340"/>
        </w:tabs>
        <w:spacing w:after="160" w:line="259" w:lineRule="auto"/>
        <w:jc w:val="both"/>
        <w:rPr>
          <w:rFonts w:asciiTheme="minorHAnsi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as </w:t>
      </w:r>
      <w:r w:rsidRPr="00AC51A9">
        <w:rPr>
          <w:rFonts w:asciiTheme="minorHAnsi" w:eastAsia="Arial" w:hAnsiTheme="minorHAnsi" w:cstheme="minorHAnsi"/>
          <w:b/>
        </w:rPr>
        <w:t>diretrizes orçamentárias do Conselho de Arquitetura e Urbanismo do Brasil</w:t>
      </w:r>
      <w:r w:rsidRPr="00AC51A9">
        <w:rPr>
          <w:rFonts w:asciiTheme="minorHAnsi" w:eastAsia="Arial" w:hAnsiTheme="minorHAnsi" w:cstheme="minorHAnsi"/>
        </w:rPr>
        <w:t xml:space="preserve">, as quais estabelecem a </w:t>
      </w:r>
      <w:r w:rsidRPr="002804D4">
        <w:rPr>
          <w:rFonts w:asciiTheme="minorHAnsi" w:eastAsia="Arial" w:hAnsiTheme="minorHAnsi" w:cstheme="minorHAnsi"/>
        </w:rPr>
        <w:t xml:space="preserve">destinação de </w:t>
      </w:r>
      <w:r w:rsidRPr="00E66617">
        <w:rPr>
          <w:rFonts w:asciiTheme="minorHAnsi" w:eastAsia="Arial" w:hAnsiTheme="minorHAnsi" w:cstheme="minorHAnsi"/>
        </w:rPr>
        <w:t>2% de sua arrecadação liquida anual da autarquia para a promoção de ações</w:t>
      </w:r>
      <w:r w:rsidRPr="00AC51A9">
        <w:rPr>
          <w:rFonts w:asciiTheme="minorHAnsi" w:eastAsia="Arial" w:hAnsiTheme="minorHAnsi" w:cstheme="minorHAnsi"/>
        </w:rPr>
        <w:t xml:space="preserve"> de apoio, fomento e divulgação da Assistência Técnica para Habitação de Interesse Social em todo o país;</w:t>
      </w:r>
    </w:p>
    <w:p w14:paraId="24EE28B5" w14:textId="3A31543B" w:rsidR="006E4256" w:rsidRPr="00AC51A9" w:rsidRDefault="006E4256" w:rsidP="006E425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que o </w:t>
      </w:r>
      <w:r w:rsidR="00EF2562" w:rsidRPr="00EF2562">
        <w:rPr>
          <w:rFonts w:asciiTheme="minorHAnsi" w:eastAsia="Arial" w:hAnsiTheme="minorHAnsi" w:cstheme="minorHAnsi"/>
          <w:b/>
          <w:bCs/>
        </w:rPr>
        <w:t>P</w:t>
      </w:r>
      <w:r w:rsidRPr="00AC51A9">
        <w:rPr>
          <w:rFonts w:asciiTheme="minorHAnsi" w:eastAsia="Arial" w:hAnsiTheme="minorHAnsi" w:cstheme="minorHAnsi"/>
          <w:b/>
        </w:rPr>
        <w:t xml:space="preserve">lano de </w:t>
      </w:r>
      <w:r w:rsidR="00EF2562">
        <w:rPr>
          <w:rFonts w:asciiTheme="minorHAnsi" w:eastAsia="Arial" w:hAnsiTheme="minorHAnsi" w:cstheme="minorHAnsi"/>
          <w:b/>
        </w:rPr>
        <w:t>A</w:t>
      </w:r>
      <w:r w:rsidRPr="00AC51A9">
        <w:rPr>
          <w:rFonts w:asciiTheme="minorHAnsi" w:eastAsia="Arial" w:hAnsiTheme="minorHAnsi" w:cstheme="minorHAnsi"/>
          <w:b/>
        </w:rPr>
        <w:t xml:space="preserve">ção e </w:t>
      </w:r>
      <w:r w:rsidR="00EF2562">
        <w:rPr>
          <w:rFonts w:asciiTheme="minorHAnsi" w:eastAsia="Arial" w:hAnsiTheme="minorHAnsi" w:cstheme="minorHAnsi"/>
          <w:b/>
        </w:rPr>
        <w:t>O</w:t>
      </w:r>
      <w:r w:rsidRPr="002804D4">
        <w:rPr>
          <w:rFonts w:asciiTheme="minorHAnsi" w:eastAsia="Arial" w:hAnsiTheme="minorHAnsi" w:cstheme="minorHAnsi"/>
          <w:b/>
        </w:rPr>
        <w:t>rçamento do CAU/RS</w:t>
      </w:r>
      <w:r w:rsidRPr="002804D4">
        <w:rPr>
          <w:rFonts w:asciiTheme="minorHAnsi" w:eastAsia="Arial" w:hAnsiTheme="minorHAnsi" w:cstheme="minorHAnsi"/>
        </w:rPr>
        <w:t>, desenvolvido com base nas diretrizes orçamentárias do CAU/BR, tem garantido e ampliado a alocação destes recursos anuais para ações estratégicas de Assistência Técnica para Habitação de Interesse Social nos</w:t>
      </w:r>
      <w:r w:rsidRPr="00AC51A9">
        <w:rPr>
          <w:rFonts w:asciiTheme="minorHAnsi" w:eastAsia="Arial" w:hAnsiTheme="minorHAnsi" w:cstheme="minorHAnsi"/>
        </w:rPr>
        <w:t xml:space="preserve"> municípios gaúchos;</w:t>
      </w:r>
    </w:p>
    <w:p w14:paraId="5F9C74C7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que o CAU/RS instituiu o </w:t>
      </w:r>
      <w:r w:rsidRPr="00AC51A9">
        <w:rPr>
          <w:rFonts w:asciiTheme="minorHAnsi" w:eastAsia="Arial" w:hAnsiTheme="minorHAnsi" w:cstheme="minorHAnsi"/>
          <w:b/>
        </w:rPr>
        <w:t xml:space="preserve">Gabinete de Gestão do CAU/RS para a implementação da Assistência Técnica para Habitação de Interesse Social no Rio Grande </w:t>
      </w:r>
      <w:r w:rsidRPr="002804D4">
        <w:rPr>
          <w:rFonts w:asciiTheme="minorHAnsi" w:eastAsia="Arial" w:hAnsiTheme="minorHAnsi" w:cstheme="minorHAnsi"/>
          <w:b/>
        </w:rPr>
        <w:t>do Sul</w:t>
      </w:r>
      <w:r w:rsidRPr="002804D4">
        <w:rPr>
          <w:rFonts w:asciiTheme="minorHAnsi" w:eastAsia="Arial" w:hAnsiTheme="minorHAnsi" w:cstheme="minorHAnsi"/>
        </w:rPr>
        <w:t xml:space="preserve"> (GATHIS), com o propósito</w:t>
      </w:r>
      <w:r w:rsidRPr="00AC51A9">
        <w:rPr>
          <w:rFonts w:asciiTheme="minorHAnsi" w:eastAsia="Arial" w:hAnsiTheme="minorHAnsi" w:cstheme="minorHAnsi"/>
        </w:rPr>
        <w:t xml:space="preserve"> de promover o cumprimento da Lei da Assistência Técnica (Lei nº 11.888/2008) através de ações de divulgação e promoção institucional da ATHIS para a adoção de políticas </w:t>
      </w:r>
      <w:r w:rsidRPr="00AC51A9">
        <w:rPr>
          <w:rFonts w:asciiTheme="minorHAnsi" w:eastAsia="Arial" w:hAnsiTheme="minorHAnsi" w:cstheme="minorHAnsi"/>
        </w:rPr>
        <w:lastRenderedPageBreak/>
        <w:t>permanentes de atendimento às famílias de baixa renda por parte dos arquitetos e urbanistas, através de convênios e parcerias com outras instituições e administrações;</w:t>
      </w:r>
    </w:p>
    <w:p w14:paraId="1038EC02" w14:textId="77777777" w:rsidR="006E4256" w:rsidRPr="002804D4" w:rsidRDefault="006E4256" w:rsidP="006E425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</w:t>
      </w:r>
      <w:r w:rsidRPr="002804D4">
        <w:rPr>
          <w:rFonts w:asciiTheme="minorHAnsi" w:eastAsia="Arial" w:hAnsiTheme="minorHAnsi" w:cstheme="minorHAnsi"/>
        </w:rPr>
        <w:t xml:space="preserve">que o plano de ação elaborado pela Comissão Temporária de ATHIS e a decorrente atuação do GATHIS e da elaborou o conceito e desenvolveu o Programa ATHIS Casa Saudável, em 2019, buscando a integração do arquiteto e urbanista junto às Equipes que trabalham na Estratégia Saúde da Família (ESF), mais especificamente nos Núcleos de Apoio à Saúde da Família (NASF-SUS), visando a promoção da saúde da população através da melhoria realizada nas suas moradias e entornos, em total consonância com o </w:t>
      </w:r>
      <w:r w:rsidRPr="002804D4">
        <w:rPr>
          <w:rFonts w:asciiTheme="minorHAnsi" w:eastAsia="Arial" w:hAnsiTheme="minorHAnsi" w:cstheme="minorHAnsi"/>
          <w:b/>
        </w:rPr>
        <w:t>artigo 3º da Lei nº 8.080/1990</w:t>
      </w:r>
      <w:r w:rsidRPr="002804D4">
        <w:rPr>
          <w:rFonts w:asciiTheme="minorHAnsi" w:eastAsia="Arial" w:hAnsiTheme="minorHAnsi" w:cstheme="minorHAnsi"/>
        </w:rPr>
        <w:t xml:space="preserve">, que institui o Sistema Único de Saúde no país e define a moradia como um dos condicionantes e </w:t>
      </w:r>
      <w:r w:rsidRPr="002804D4">
        <w:rPr>
          <w:rFonts w:asciiTheme="minorHAnsi" w:eastAsia="Arial" w:hAnsiTheme="minorHAnsi" w:cstheme="minorHAnsi"/>
          <w:b/>
          <w:bCs/>
        </w:rPr>
        <w:t>Determinantes Sociais da Saúde</w:t>
      </w:r>
      <w:r w:rsidRPr="002804D4">
        <w:rPr>
          <w:rFonts w:asciiTheme="minorHAnsi" w:eastAsia="Arial" w:hAnsiTheme="minorHAnsi" w:cstheme="minorHAnsi"/>
        </w:rPr>
        <w:t xml:space="preserve"> (DSS) da população;</w:t>
      </w:r>
    </w:p>
    <w:p w14:paraId="72C2C9E9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que, em 2020, em meio a pandemia da Covid-19, o CAU/RS lança o </w:t>
      </w:r>
      <w:r w:rsidRPr="00AC51A9">
        <w:rPr>
          <w:rFonts w:asciiTheme="minorHAnsi" w:eastAsia="Arial" w:hAnsiTheme="minorHAnsi" w:cstheme="minorHAnsi"/>
          <w:b/>
        </w:rPr>
        <w:t>Projeto Nenhuma Casa Sem Banheiro,</w:t>
      </w:r>
      <w:r w:rsidRPr="00AC51A9">
        <w:rPr>
          <w:rFonts w:asciiTheme="minorHAnsi" w:eastAsia="Arial" w:hAnsiTheme="minorHAnsi" w:cstheme="minorHAnsi"/>
        </w:rPr>
        <w:t xml:space="preserve"> iniciativa emergencial destinada a viabilizar às famílias de baixa renda as mínimas condições sanitárias para enfrentamento da epidemia;</w:t>
      </w:r>
    </w:p>
    <w:p w14:paraId="35C8F0E6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que o </w:t>
      </w:r>
      <w:r w:rsidRPr="00AC51A9">
        <w:rPr>
          <w:rFonts w:asciiTheme="minorHAnsi" w:eastAsia="Arial" w:hAnsiTheme="minorHAnsi" w:cstheme="minorHAnsi"/>
          <w:b/>
        </w:rPr>
        <w:t>Projeto Nenhuma Casa Sem Banheiro</w:t>
      </w:r>
      <w:r w:rsidRPr="00AC51A9">
        <w:rPr>
          <w:rFonts w:asciiTheme="minorHAnsi" w:eastAsia="Arial" w:hAnsiTheme="minorHAnsi" w:cstheme="minorHAnsi"/>
        </w:rPr>
        <w:t xml:space="preserve"> foi viabilizado pelo apoio da Secretaria de Obras e Habitação do Estado do Rio Grande do Sul (SOP/RS), Tribunal de Contas do Estado do Rio Grande do Sul (TCE/RS), Ministério Público de Contas do Estado do Rio Grande do Sul (MPC/RS), Ministério Público do Estado do Rio Grande do Sul (MPRS), Defensoria Pública do Estado do Rio Grande do Sul (DPE/RS) e Federação das Associações de Municípios do Rio Grande do Sul (FAMURS);</w:t>
      </w:r>
    </w:p>
    <w:p w14:paraId="78CE67C4" w14:textId="77777777" w:rsidR="006E4256" w:rsidRPr="00AC51A9" w:rsidRDefault="006E4256" w:rsidP="006E4256">
      <w:pPr>
        <w:spacing w:before="240" w:after="24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que este Protocolo recebeu o apoio institucional do </w:t>
      </w:r>
      <w:r w:rsidRPr="00AC51A9">
        <w:rPr>
          <w:rFonts w:asciiTheme="minorHAnsi" w:eastAsia="Arial" w:hAnsiTheme="minorHAnsi" w:cstheme="minorHAnsi"/>
          <w:b/>
        </w:rPr>
        <w:t>Programa das Nações Unidas para os Assentamentos Humanos (ONU-Habitat)</w:t>
      </w:r>
      <w:r w:rsidRPr="00AC51A9">
        <w:rPr>
          <w:rFonts w:asciiTheme="minorHAnsi" w:eastAsia="Arial" w:hAnsiTheme="minorHAnsi" w:cstheme="minorHAnsi"/>
        </w:rPr>
        <w:t xml:space="preserve"> e das entidades estaduais de Arquitetos e Urbanistas: </w:t>
      </w:r>
      <w:r w:rsidRPr="00AC51A9">
        <w:rPr>
          <w:rFonts w:asciiTheme="minorHAnsi" w:eastAsia="Arial" w:hAnsiTheme="minorHAnsi" w:cstheme="minorHAnsi"/>
          <w:b/>
        </w:rPr>
        <w:t>AAI/RS, ASBEA/RS, IAB/RS e SAERGS</w:t>
      </w:r>
      <w:r w:rsidRPr="00AC51A9">
        <w:rPr>
          <w:rFonts w:asciiTheme="minorHAnsi" w:eastAsia="Arial" w:hAnsiTheme="minorHAnsi" w:cstheme="minorHAnsi"/>
        </w:rPr>
        <w:t>;</w:t>
      </w:r>
    </w:p>
    <w:p w14:paraId="216FBD98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2804D4">
        <w:rPr>
          <w:rFonts w:asciiTheme="minorHAnsi" w:eastAsia="Arial" w:hAnsiTheme="minorHAnsi" w:cstheme="minorHAnsi"/>
        </w:rPr>
        <w:t xml:space="preserve">Considerando que tanto o CASA SAUDÁVEL como o NENHUMA CASA SEM BANHEIRO demonstraram claramente a necessidade de </w:t>
      </w:r>
      <w:r w:rsidRPr="002804D4">
        <w:rPr>
          <w:rFonts w:asciiTheme="minorHAnsi" w:eastAsia="Arial" w:hAnsiTheme="minorHAnsi" w:cstheme="minorHAnsi"/>
          <w:b/>
          <w:bCs/>
        </w:rPr>
        <w:t>integrar nas políticas de saúde a dimensão da moradia</w:t>
      </w:r>
      <w:r w:rsidRPr="002804D4">
        <w:rPr>
          <w:rFonts w:asciiTheme="minorHAnsi" w:eastAsia="Arial" w:hAnsiTheme="minorHAnsi" w:cstheme="minorHAnsi"/>
        </w:rPr>
        <w:t>, viabilizando assim a qualificação do ambiente em que as famílias vivem</w:t>
      </w:r>
      <w:r w:rsidRPr="00AC51A9">
        <w:rPr>
          <w:rFonts w:asciiTheme="minorHAnsi" w:eastAsia="Arial" w:hAnsiTheme="minorHAnsi" w:cstheme="minorHAnsi"/>
        </w:rPr>
        <w:t>, permitindo uma compreensão ampliada do processo saúde/doença, inclusive trabalhando na prevenção e promoção da saúde;</w:t>
      </w:r>
    </w:p>
    <w:p w14:paraId="56C93F91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que para este fim faz-se necessário aumentar a capacidade de resposta das Equipes de Saúde da Família aos problemas da população foram criados os </w:t>
      </w:r>
      <w:r w:rsidRPr="00AC51A9">
        <w:rPr>
          <w:rFonts w:asciiTheme="minorHAnsi" w:eastAsia="Arial" w:hAnsiTheme="minorHAnsi" w:cstheme="minorHAnsi"/>
          <w:b/>
          <w:bCs/>
        </w:rPr>
        <w:t>Núcleos de Apoio à Saúde da Família</w:t>
      </w:r>
      <w:r w:rsidRPr="00AC51A9">
        <w:rPr>
          <w:rFonts w:asciiTheme="minorHAnsi" w:eastAsia="Arial" w:hAnsiTheme="minorHAnsi" w:cstheme="minorHAnsi"/>
        </w:rPr>
        <w:t xml:space="preserve"> (NASF), compostos por profissionais de diferentes áreas do conhecimento que, atuando de maneira integrada às equipes de saúde da família qualificam o atendimento às pessoas;</w:t>
      </w:r>
    </w:p>
    <w:p w14:paraId="0198853B" w14:textId="03B2E5A3" w:rsidR="006E4256" w:rsidRPr="00AC51A9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que estes núcleos e equipes somente atingirão o êxito pretendido se também estiver integrado à sua estrutura um profissional arquiteto e urbanista, pois este </w:t>
      </w:r>
      <w:r w:rsidRPr="00AC51A9">
        <w:rPr>
          <w:rFonts w:asciiTheme="minorHAnsi" w:eastAsia="Arial" w:hAnsiTheme="minorHAnsi" w:cstheme="minorHAnsi"/>
          <w:b/>
          <w:bCs/>
        </w:rPr>
        <w:t>é o profissional que possui a formação e a consequente atribuição para realizar melhorias físicas diretamente nos domicílios das famílias</w:t>
      </w:r>
      <w:r w:rsidRPr="00AC51A9">
        <w:rPr>
          <w:rFonts w:asciiTheme="minorHAnsi" w:eastAsia="Arial" w:hAnsiTheme="minorHAnsi" w:cstheme="minorHAnsi"/>
        </w:rPr>
        <w:t>, diagnosticando na casa a existência de vetores de doenças, de insalubridade ou de insegurança aos moradores;</w:t>
      </w:r>
    </w:p>
    <w:p w14:paraId="533BDCF5" w14:textId="77777777" w:rsidR="006E4256" w:rsidRPr="00AC51A9" w:rsidRDefault="006E4256" w:rsidP="006E425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 que a atuação dos Arquitetos e Urbanistas resultará em significativa </w:t>
      </w:r>
      <w:r w:rsidRPr="00AC51A9">
        <w:rPr>
          <w:rFonts w:asciiTheme="minorHAnsi" w:eastAsia="Arial" w:hAnsiTheme="minorHAnsi" w:cstheme="minorHAnsi"/>
          <w:b/>
          <w:bCs/>
        </w:rPr>
        <w:t xml:space="preserve">economia de recursos da saúde </w:t>
      </w:r>
      <w:r w:rsidRPr="00AC51A9">
        <w:rPr>
          <w:rFonts w:asciiTheme="minorHAnsi" w:eastAsia="Arial" w:hAnsiTheme="minorHAnsi" w:cstheme="minorHAnsi"/>
        </w:rPr>
        <w:t xml:space="preserve">no tratamento de doenças e internações de enfermos por uma longa série de </w:t>
      </w:r>
      <w:r w:rsidRPr="00AC51A9">
        <w:rPr>
          <w:rFonts w:asciiTheme="minorHAnsi" w:eastAsia="Arial" w:hAnsiTheme="minorHAnsi" w:cstheme="minorHAnsi"/>
        </w:rPr>
        <w:lastRenderedPageBreak/>
        <w:t>enfermidades relacionadas às condições de habitação: tuberculose, doenças respiratórias, diarreia e doenças do aparelho digestivo, doenças disseminadas por animais, acidentes domésticos, enfermidades psiquiátricas, violência doméstica e sexual, etc.;</w:t>
      </w:r>
    </w:p>
    <w:p w14:paraId="3A988982" w14:textId="77777777" w:rsidR="006E4256" w:rsidRDefault="006E4256" w:rsidP="006E4256">
      <w:pPr>
        <w:spacing w:after="160" w:line="259" w:lineRule="auto"/>
        <w:jc w:val="both"/>
        <w:rPr>
          <w:rFonts w:asciiTheme="minorHAnsi" w:eastAsia="Arial" w:hAnsiTheme="minorHAnsi" w:cstheme="minorHAnsi"/>
        </w:rPr>
      </w:pPr>
      <w:r w:rsidRPr="00AC51A9">
        <w:rPr>
          <w:rFonts w:asciiTheme="minorHAnsi" w:eastAsia="Arial" w:hAnsiTheme="minorHAnsi" w:cstheme="minorHAnsi"/>
        </w:rPr>
        <w:t xml:space="preserve">Considerando, por fim, que para cumprir a sua </w:t>
      </w:r>
      <w:r w:rsidRPr="00AC51A9">
        <w:rPr>
          <w:rFonts w:asciiTheme="minorHAnsi" w:eastAsia="Arial" w:hAnsiTheme="minorHAnsi" w:cstheme="minorHAnsi"/>
          <w:b/>
        </w:rPr>
        <w:t>missão institucional de promover a Arquitetura e Urbanismo para todos,</w:t>
      </w:r>
      <w:r w:rsidRPr="00AC51A9">
        <w:rPr>
          <w:rFonts w:asciiTheme="minorHAnsi" w:eastAsia="Arial" w:hAnsiTheme="minorHAnsi" w:cstheme="minorHAnsi"/>
        </w:rPr>
        <w:t xml:space="preserve"> em especial dando exequibilidade à Lei Federal 11.888/2008, Lei de Assistência Técnica para Habitação de Interesse Social (ATHIS), fortalecendo ações como o “Programa Casa Saudável” e “Projeto Nenhuma Casa Sem Banheiro” junto a profissionais, entidades, municípios, movimentos e outras organizações, colaborando para a destinação efetiva de recursos para ações de ATHIS e integrando as ações em habitação social e saúde pública;</w:t>
      </w:r>
    </w:p>
    <w:p w14:paraId="7065C21F" w14:textId="77777777" w:rsidR="007A38E8" w:rsidRDefault="009A3BE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DELIBEROU por:</w:t>
      </w:r>
      <w:r>
        <w:rPr>
          <w:rFonts w:ascii="Calibri" w:eastAsia="Calibri" w:hAnsi="Calibri" w:cs="Calibri"/>
          <w:b/>
        </w:rPr>
        <w:tab/>
      </w:r>
    </w:p>
    <w:p w14:paraId="0AD50C70" w14:textId="77777777" w:rsidR="007A38E8" w:rsidRDefault="007A38E8">
      <w:pPr>
        <w:jc w:val="both"/>
        <w:rPr>
          <w:rFonts w:ascii="Calibri" w:eastAsia="Calibri" w:hAnsi="Calibri" w:cs="Calibri"/>
          <w:b/>
        </w:rPr>
      </w:pPr>
    </w:p>
    <w:p w14:paraId="3B4CBCE9" w14:textId="71E0E74B" w:rsidR="00054490" w:rsidRDefault="00054490" w:rsidP="000544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Determinar a intensificação das </w:t>
      </w:r>
      <w:r w:rsidRPr="00E66617">
        <w:rPr>
          <w:rFonts w:asciiTheme="minorHAnsi" w:eastAsia="Arial" w:hAnsiTheme="minorHAnsi" w:cstheme="minorHAnsi"/>
        </w:rPr>
        <w:t>tratativas junto ao Governo Federal e outros parceiros a fim de demonstrar a necessidade da MORADIA DIGNA como quesito necessário e imprescindível para a execução de uma política de saúde que efetivamente viabilize melhores condições de vida para a população;</w:t>
      </w:r>
    </w:p>
    <w:p w14:paraId="3355A696" w14:textId="77777777" w:rsidR="00054490" w:rsidRDefault="00054490" w:rsidP="0005449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</w:rPr>
      </w:pPr>
    </w:p>
    <w:p w14:paraId="09F804CC" w14:textId="6FBC5BC2" w:rsidR="00054490" w:rsidRDefault="00054490" w:rsidP="000544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Determinar a realização de</w:t>
      </w:r>
      <w:r w:rsidRPr="00E66617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ações ativas </w:t>
      </w:r>
      <w:r w:rsidRPr="00E66617">
        <w:rPr>
          <w:rFonts w:asciiTheme="minorHAnsi" w:eastAsia="Arial" w:hAnsiTheme="minorHAnsi" w:cstheme="minorHAnsi"/>
        </w:rPr>
        <w:t>junto aos municípios do estado, responsáveis principais pelas políticas de moradia, exigindo a implantação efetiva da Lei Federal 11.888/2010 e colaborando para esse objetivo;</w:t>
      </w:r>
    </w:p>
    <w:p w14:paraId="5E3699EF" w14:textId="77777777" w:rsidR="00054490" w:rsidRDefault="00054490" w:rsidP="00054490">
      <w:pPr>
        <w:pStyle w:val="PargrafodaLista"/>
        <w:rPr>
          <w:rFonts w:asciiTheme="minorHAnsi" w:eastAsia="Arial" w:hAnsiTheme="minorHAnsi" w:cstheme="minorHAnsi"/>
        </w:rPr>
      </w:pPr>
    </w:p>
    <w:p w14:paraId="0ADCCAE6" w14:textId="30F97D93" w:rsidR="00054490" w:rsidRPr="00E66617" w:rsidRDefault="00054490" w:rsidP="000544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Determinar à Gerência de Comunicação o registro e divulgação d</w:t>
      </w:r>
      <w:r w:rsidRPr="00E66617">
        <w:rPr>
          <w:rFonts w:asciiTheme="minorHAnsi" w:eastAsia="Arial" w:hAnsiTheme="minorHAnsi" w:cstheme="minorHAnsi"/>
        </w:rPr>
        <w:t xml:space="preserve">as experiências do CAU/RS </w:t>
      </w:r>
      <w:r>
        <w:rPr>
          <w:rFonts w:asciiTheme="minorHAnsi" w:eastAsia="Arial" w:hAnsiTheme="minorHAnsi" w:cstheme="minorHAnsi"/>
        </w:rPr>
        <w:t xml:space="preserve">nas ações que visam o </w:t>
      </w:r>
      <w:r w:rsidRPr="00E66617">
        <w:rPr>
          <w:rFonts w:asciiTheme="minorHAnsi" w:eastAsia="Arial" w:hAnsiTheme="minorHAnsi" w:cstheme="minorHAnsi"/>
        </w:rPr>
        <w:t xml:space="preserve">cumprimento da Lei Federal 11.888/2008, com o objetivo de dar conhecimento aos Arquitetos e Urbanistas, órgãos públicos, entidades da sociedade civil e população em geral </w:t>
      </w:r>
      <w:r>
        <w:rPr>
          <w:rFonts w:asciiTheme="minorHAnsi" w:eastAsia="Arial" w:hAnsiTheme="minorHAnsi" w:cstheme="minorHAnsi"/>
        </w:rPr>
        <w:t xml:space="preserve">acerca dos projetos </w:t>
      </w:r>
      <w:r w:rsidRPr="00E66617">
        <w:rPr>
          <w:rFonts w:asciiTheme="minorHAnsi" w:eastAsia="Arial" w:hAnsiTheme="minorHAnsi" w:cstheme="minorHAnsi"/>
        </w:rPr>
        <w:t>já desenvolvid</w:t>
      </w:r>
      <w:r>
        <w:rPr>
          <w:rFonts w:asciiTheme="minorHAnsi" w:eastAsia="Arial" w:hAnsiTheme="minorHAnsi" w:cstheme="minorHAnsi"/>
        </w:rPr>
        <w:t>o</w:t>
      </w:r>
      <w:r w:rsidRPr="00E66617">
        <w:rPr>
          <w:rFonts w:asciiTheme="minorHAnsi" w:eastAsia="Arial" w:hAnsiTheme="minorHAnsi" w:cstheme="minorHAnsi"/>
        </w:rPr>
        <w:t>s e das propostas existentes, aumentando assim a informação e o esclarecimento acerca desta importante iniciativa, visando sua consolidação como política pública em todas as esferas governamentais</w:t>
      </w:r>
      <w:r>
        <w:rPr>
          <w:rFonts w:asciiTheme="minorHAnsi" w:eastAsia="Arial" w:hAnsiTheme="minorHAnsi" w:cstheme="minorHAnsi"/>
        </w:rPr>
        <w:t>;</w:t>
      </w:r>
    </w:p>
    <w:p w14:paraId="4830C8B4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12907BF1" w14:textId="77777777" w:rsidR="007A38E8" w:rsidRDefault="009A3BE0" w:rsidP="009D6D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Encaminhar a presente deliberação à Chefia de Gabinete do CAU/RS para providências necessárias. </w:t>
      </w:r>
    </w:p>
    <w:p w14:paraId="4BEF8FE9" w14:textId="77777777" w:rsidR="007A38E8" w:rsidRDefault="007A38E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p w14:paraId="4070C2CC" w14:textId="77777777" w:rsidR="007A38E8" w:rsidRDefault="009A3BE0">
      <w:pPr>
        <w:tabs>
          <w:tab w:val="left" w:pos="709"/>
        </w:tabs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Esta deliberação entra em vigor na data de sua publicação. </w:t>
      </w:r>
    </w:p>
    <w:p w14:paraId="40EDEE31" w14:textId="77777777" w:rsidR="007A38E8" w:rsidRDefault="007A38E8">
      <w:pPr>
        <w:jc w:val="both"/>
        <w:rPr>
          <w:rFonts w:ascii="Calibri" w:eastAsia="Calibri" w:hAnsi="Calibri" w:cs="Calibri"/>
          <w:highlight w:val="yellow"/>
        </w:rPr>
      </w:pPr>
    </w:p>
    <w:p w14:paraId="57747836" w14:textId="18226C68" w:rsidR="009D6DE0" w:rsidRPr="00382C4E" w:rsidRDefault="009D6DE0" w:rsidP="00C51A07">
      <w:pPr>
        <w:jc w:val="both"/>
        <w:rPr>
          <w:rFonts w:asciiTheme="minorHAnsi" w:hAnsiTheme="minorHAnsi" w:cstheme="minorHAnsi"/>
        </w:rPr>
      </w:pPr>
      <w:r w:rsidRPr="00C51A07">
        <w:rPr>
          <w:rFonts w:asciiTheme="minorHAnsi" w:hAnsiTheme="minorHAnsi" w:cstheme="minorHAnsi"/>
        </w:rPr>
        <w:t xml:space="preserve">Com 13 (treze) votos favoráveis, das conselheiras </w:t>
      </w:r>
      <w:r w:rsidR="00C51A07" w:rsidRPr="00C51A07">
        <w:rPr>
          <w:rFonts w:asciiTheme="minorHAnsi" w:hAnsiTheme="minorHAnsi" w:cstheme="minorHAnsi"/>
        </w:rPr>
        <w:t>Andréa Larruscahim Hamilton Ilha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Gislaine Vargas Saibro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Ingrid Louise de Souza Dahm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Márcia Elizabeth Martins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Nubia Margot Menezes Jardim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Orildes Tres</w:t>
      </w:r>
      <w:r w:rsidR="00C51A07">
        <w:rPr>
          <w:rFonts w:asciiTheme="minorHAnsi" w:hAnsiTheme="minorHAnsi" w:cstheme="minorHAnsi"/>
        </w:rPr>
        <w:t xml:space="preserve">, e </w:t>
      </w:r>
      <w:r w:rsidR="00C51A07" w:rsidRPr="00C51A07">
        <w:rPr>
          <w:rFonts w:asciiTheme="minorHAnsi" w:hAnsiTheme="minorHAnsi" w:cstheme="minorHAnsi"/>
        </w:rPr>
        <w:t>Silvia Monteiro Barakat</w:t>
      </w:r>
      <w:r w:rsidRPr="00C51A07">
        <w:rPr>
          <w:rFonts w:asciiTheme="minorHAnsi" w:hAnsiTheme="minorHAnsi" w:cstheme="minorHAnsi"/>
        </w:rPr>
        <w:t xml:space="preserve"> e dos conselheiros</w:t>
      </w:r>
      <w:r w:rsidR="00C51A07" w:rsidRPr="00C51A07">
        <w:rPr>
          <w:rFonts w:asciiTheme="minorHAnsi" w:hAnsiTheme="minorHAnsi" w:cstheme="minorHAnsi"/>
        </w:rPr>
        <w:t xml:space="preserve"> </w:t>
      </w:r>
      <w:r w:rsidR="00C51A07" w:rsidRPr="00C51A07">
        <w:rPr>
          <w:rFonts w:asciiTheme="minorHAnsi" w:hAnsiTheme="minorHAnsi" w:cstheme="minorHAnsi"/>
        </w:rPr>
        <w:t>Alexandre Couto Giorgi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Carlos Eduardo Iponema Costa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Carlos Eduardo Mesquita Pedone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Fausto Henrique Steffen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Rafael Artico</w:t>
      </w:r>
      <w:r w:rsidR="00C51A07">
        <w:rPr>
          <w:rFonts w:asciiTheme="minorHAnsi" w:hAnsiTheme="minorHAnsi" w:cstheme="minorHAnsi"/>
        </w:rPr>
        <w:t xml:space="preserve"> e </w:t>
      </w:r>
      <w:r w:rsidR="00C51A07" w:rsidRPr="00C51A07">
        <w:rPr>
          <w:rFonts w:asciiTheme="minorHAnsi" w:hAnsiTheme="minorHAnsi" w:cstheme="minorHAnsi"/>
        </w:rPr>
        <w:t>Rodrigo Spinelli</w:t>
      </w:r>
      <w:r w:rsidRPr="00C51A07">
        <w:rPr>
          <w:rFonts w:asciiTheme="minorHAnsi" w:hAnsiTheme="minorHAnsi" w:cstheme="minorHAnsi"/>
        </w:rPr>
        <w:t xml:space="preserve">; </w:t>
      </w:r>
      <w:r w:rsidR="00C51A07" w:rsidRPr="00C51A07">
        <w:rPr>
          <w:rFonts w:asciiTheme="minorHAnsi" w:hAnsiTheme="minorHAnsi" w:cstheme="minorHAnsi"/>
        </w:rPr>
        <w:t xml:space="preserve">e </w:t>
      </w:r>
      <w:r w:rsidRPr="00C51A07">
        <w:rPr>
          <w:rFonts w:asciiTheme="minorHAnsi" w:hAnsiTheme="minorHAnsi" w:cstheme="minorHAnsi"/>
        </w:rPr>
        <w:t>0</w:t>
      </w:r>
      <w:r w:rsidR="00C51A07" w:rsidRPr="00C51A07">
        <w:rPr>
          <w:rFonts w:asciiTheme="minorHAnsi" w:hAnsiTheme="minorHAnsi" w:cstheme="minorHAnsi"/>
        </w:rPr>
        <w:t>7</w:t>
      </w:r>
      <w:r w:rsidRPr="00C51A07">
        <w:rPr>
          <w:rFonts w:asciiTheme="minorHAnsi" w:hAnsiTheme="minorHAnsi" w:cstheme="minorHAnsi"/>
        </w:rPr>
        <w:t xml:space="preserve"> (s</w:t>
      </w:r>
      <w:r w:rsidR="00C51A07" w:rsidRPr="00C51A07">
        <w:rPr>
          <w:rFonts w:asciiTheme="minorHAnsi" w:hAnsiTheme="minorHAnsi" w:cstheme="minorHAnsi"/>
        </w:rPr>
        <w:t>ete</w:t>
      </w:r>
      <w:r w:rsidRPr="00C51A07">
        <w:rPr>
          <w:rFonts w:asciiTheme="minorHAnsi" w:hAnsiTheme="minorHAnsi" w:cstheme="minorHAnsi"/>
        </w:rPr>
        <w:t xml:space="preserve">) ausências, das </w:t>
      </w:r>
      <w:r w:rsidR="00C51A07">
        <w:rPr>
          <w:rFonts w:asciiTheme="minorHAnsi" w:hAnsiTheme="minorHAnsi" w:cstheme="minorHAnsi"/>
        </w:rPr>
        <w:t xml:space="preserve">conselheiras </w:t>
      </w:r>
      <w:r w:rsidR="00C51A07" w:rsidRPr="00C51A07">
        <w:rPr>
          <w:rFonts w:asciiTheme="minorHAnsi" w:hAnsiTheme="minorHAnsi" w:cstheme="minorHAnsi"/>
        </w:rPr>
        <w:t>Débora Francele Rodrigues da Silva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Leticia Kauer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Lidia Glacir Gomes Rodrigues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Magali Mingotti</w:t>
      </w:r>
      <w:r w:rsidR="00C51A07">
        <w:rPr>
          <w:rFonts w:asciiTheme="minorHAnsi" w:hAnsiTheme="minorHAnsi" w:cstheme="minorHAnsi"/>
        </w:rPr>
        <w:t xml:space="preserve">, </w:t>
      </w:r>
      <w:r w:rsidR="00C51A07" w:rsidRPr="00C51A07">
        <w:rPr>
          <w:rFonts w:asciiTheme="minorHAnsi" w:hAnsiTheme="minorHAnsi" w:cstheme="minorHAnsi"/>
        </w:rPr>
        <w:t>Marisa Potter</w:t>
      </w:r>
      <w:r w:rsidRPr="00C51A07">
        <w:rPr>
          <w:rFonts w:asciiTheme="minorHAnsi" w:hAnsiTheme="minorHAnsi" w:cstheme="minorHAnsi"/>
        </w:rPr>
        <w:t xml:space="preserve"> e dos conselheiros </w:t>
      </w:r>
      <w:r w:rsidR="00C51A07" w:rsidRPr="00C51A07">
        <w:rPr>
          <w:rFonts w:asciiTheme="minorHAnsi" w:hAnsiTheme="minorHAnsi" w:cstheme="minorHAnsi"/>
        </w:rPr>
        <w:t>Fábio Müller</w:t>
      </w:r>
      <w:r w:rsidR="00C51A07">
        <w:rPr>
          <w:rFonts w:asciiTheme="minorHAnsi" w:hAnsiTheme="minorHAnsi" w:cstheme="minorHAnsi"/>
        </w:rPr>
        <w:t xml:space="preserve"> e </w:t>
      </w:r>
      <w:r w:rsidR="00C51A07" w:rsidRPr="00C51A07">
        <w:rPr>
          <w:rFonts w:asciiTheme="minorHAnsi" w:hAnsiTheme="minorHAnsi" w:cstheme="minorHAnsi"/>
        </w:rPr>
        <w:t>Rinaldo Ferreira Barbosa</w:t>
      </w:r>
      <w:r w:rsidR="00C51A07">
        <w:rPr>
          <w:rFonts w:asciiTheme="minorHAnsi" w:hAnsiTheme="minorHAnsi" w:cstheme="minorHAnsi"/>
        </w:rPr>
        <w:t>.</w:t>
      </w:r>
    </w:p>
    <w:p w14:paraId="2A349D2A" w14:textId="77777777" w:rsidR="009D6DE0" w:rsidRPr="00B05151" w:rsidRDefault="009D6DE0" w:rsidP="009D6DE0">
      <w:pPr>
        <w:jc w:val="both"/>
        <w:rPr>
          <w:rFonts w:asciiTheme="minorHAnsi" w:hAnsiTheme="minorHAnsi" w:cstheme="minorHAnsi"/>
        </w:rPr>
      </w:pPr>
    </w:p>
    <w:p w14:paraId="3F7E1D2A" w14:textId="77777777" w:rsidR="009D6DE0" w:rsidRDefault="009D6DE0" w:rsidP="009D6DE0">
      <w:pPr>
        <w:jc w:val="both"/>
        <w:rPr>
          <w:rFonts w:asciiTheme="minorHAnsi" w:hAnsiTheme="minorHAnsi" w:cstheme="minorHAnsi"/>
        </w:rPr>
      </w:pPr>
    </w:p>
    <w:p w14:paraId="6431A3FB" w14:textId="77777777" w:rsidR="009D6DE0" w:rsidRPr="00382C4E" w:rsidRDefault="009D6DE0" w:rsidP="009D6DE0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30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junho </w:t>
      </w:r>
      <w:r w:rsidRPr="00382C4E">
        <w:rPr>
          <w:rFonts w:asciiTheme="minorHAnsi" w:hAnsiTheme="minorHAnsi" w:cstheme="minorHAnsi"/>
        </w:rPr>
        <w:t>de 2023.</w:t>
      </w:r>
    </w:p>
    <w:p w14:paraId="5F6CB836" w14:textId="77777777" w:rsidR="009D6DE0" w:rsidRPr="00382C4E" w:rsidRDefault="009D6DE0" w:rsidP="009D6DE0">
      <w:pPr>
        <w:jc w:val="center"/>
        <w:rPr>
          <w:rFonts w:asciiTheme="minorHAnsi" w:hAnsiTheme="minorHAnsi" w:cstheme="minorHAnsi"/>
        </w:rPr>
      </w:pPr>
    </w:p>
    <w:p w14:paraId="68E3DC43" w14:textId="77777777" w:rsidR="009D6DE0" w:rsidRPr="00382C4E" w:rsidRDefault="009D6DE0" w:rsidP="009D6DE0">
      <w:pPr>
        <w:jc w:val="center"/>
        <w:rPr>
          <w:rFonts w:asciiTheme="minorHAnsi" w:hAnsiTheme="minorHAnsi" w:cstheme="minorHAnsi"/>
        </w:rPr>
      </w:pPr>
    </w:p>
    <w:p w14:paraId="0885DEB8" w14:textId="77777777" w:rsidR="009D6DE0" w:rsidRPr="00382C4E" w:rsidRDefault="009D6DE0" w:rsidP="009D6DE0">
      <w:pPr>
        <w:jc w:val="center"/>
        <w:rPr>
          <w:rFonts w:asciiTheme="minorHAnsi" w:hAnsiTheme="minorHAnsi" w:cstheme="minorHAnsi"/>
        </w:rPr>
      </w:pPr>
    </w:p>
    <w:p w14:paraId="12BDED4C" w14:textId="77777777" w:rsidR="009D6DE0" w:rsidRPr="00382C4E" w:rsidRDefault="009D6DE0" w:rsidP="009D6DE0">
      <w:pPr>
        <w:jc w:val="center"/>
        <w:rPr>
          <w:rFonts w:asciiTheme="minorHAnsi" w:hAnsiTheme="minorHAnsi" w:cstheme="minorHAnsi"/>
        </w:rPr>
      </w:pPr>
    </w:p>
    <w:p w14:paraId="56C04EAB" w14:textId="77777777" w:rsidR="00865D95" w:rsidRDefault="00865D95" w:rsidP="009D6DE0">
      <w:pPr>
        <w:jc w:val="center"/>
        <w:rPr>
          <w:rFonts w:asciiTheme="minorHAnsi" w:hAnsiTheme="minorHAnsi" w:cstheme="minorHAnsi"/>
          <w:b/>
        </w:rPr>
      </w:pPr>
    </w:p>
    <w:p w14:paraId="1B4535C8" w14:textId="5DCE848F" w:rsidR="009D6DE0" w:rsidRPr="00382C4E" w:rsidRDefault="009D6DE0" w:rsidP="009D6DE0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492D03D6" w14:textId="77777777" w:rsidR="009D6DE0" w:rsidRPr="00382C4E" w:rsidRDefault="009D6DE0" w:rsidP="009D6DE0">
      <w:pPr>
        <w:jc w:val="center"/>
        <w:rPr>
          <w:rFonts w:asciiTheme="minorHAnsi" w:hAnsiTheme="minorHAnsi" w:cstheme="minorHAnsi"/>
        </w:rPr>
        <w:sectPr w:rsidR="009D6DE0" w:rsidRPr="00382C4E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33670BC" w14:textId="77777777" w:rsidR="009D6DE0" w:rsidRPr="009116E7" w:rsidRDefault="009D6DE0" w:rsidP="009D6DE0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145</w:t>
      </w:r>
      <w:r w:rsidRPr="009116E7">
        <w:rPr>
          <w:rFonts w:asciiTheme="minorHAnsi" w:hAnsiTheme="minorHAnsi" w:cstheme="minorHAnsi"/>
          <w:b/>
          <w:bCs/>
          <w:sz w:val="22"/>
          <w:szCs w:val="22"/>
        </w:rPr>
        <w:t>ª REUNIÃO PLENÁRIA ORDINÁRIA DO CAU/RS</w:t>
      </w:r>
    </w:p>
    <w:p w14:paraId="4A8FAEA5" w14:textId="77777777" w:rsidR="009D6DE0" w:rsidRPr="009116E7" w:rsidRDefault="009D6DE0" w:rsidP="009D6DE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9D6DE0" w:rsidRPr="00B9545A" w14:paraId="79BE0849" w14:textId="77777777" w:rsidTr="003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52BBB53" w14:textId="655BADDB" w:rsidR="009D6DE0" w:rsidRPr="00B9545A" w:rsidRDefault="009D6DE0" w:rsidP="00367627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 w:rsidR="006059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</w:rPr>
              <w:t>/2023 - Protocolo nº</w:t>
            </w:r>
          </w:p>
        </w:tc>
      </w:tr>
      <w:tr w:rsidR="009D6DE0" w:rsidRPr="00B9545A" w14:paraId="1EFB14A8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0A50CE03" w14:textId="77777777" w:rsidR="009D6DE0" w:rsidRPr="00B9545A" w:rsidRDefault="009D6DE0" w:rsidP="00367627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58FBF55F" w14:textId="77777777" w:rsidR="009D6DE0" w:rsidRPr="00B9545A" w:rsidRDefault="009D6DE0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50124C3" w14:textId="77777777" w:rsidR="009D6DE0" w:rsidRPr="00B9545A" w:rsidRDefault="009D6DE0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27EC3238" w14:textId="77777777" w:rsidR="009D6DE0" w:rsidRPr="00B9545A" w:rsidRDefault="009D6DE0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2B4F5EF8" w14:textId="77777777" w:rsidR="009D6DE0" w:rsidRPr="00B9545A" w:rsidRDefault="009D6DE0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Ausência</w:t>
            </w:r>
          </w:p>
        </w:tc>
      </w:tr>
      <w:tr w:rsidR="00C51A07" w:rsidRPr="00B9545A" w14:paraId="769224B7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1542C3A" w14:textId="50955BB7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35317394" w14:textId="48A9FA30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52BCBAF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31C706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CAD11D6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589B17D1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F9788D9" w14:textId="613EA036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5369DD26" w14:textId="0075F7A4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F55DF5C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669D1F" w14:textId="77777777" w:rsidR="00C51A07" w:rsidRPr="0079298A" w:rsidRDefault="00C51A07" w:rsidP="00C51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7A679CA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54E7593A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ED9A2C" w14:textId="0463E053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6405D61" w14:textId="46FD5A1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E4B3273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B21F3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B21549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3C932ACF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56D964" w14:textId="7EF595A1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00DEAA92" w14:textId="0281C208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9426353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E96184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E4EB56E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C51A07" w:rsidRPr="00B9545A" w14:paraId="01CAC7FD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DE1C9D" w14:textId="21E0E45D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14:paraId="07FCB5F0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DC7841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FE14B5" w14:textId="5B24EA28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66D14FB" w14:textId="0B788950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51A07" w:rsidRPr="00B9545A" w14:paraId="243C34CE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66F07A" w14:textId="2A4C83EE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172461AD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C3DCCC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FA6BBB" w14:textId="3237F3B2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703B4CF" w14:textId="2A388B92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51A07" w:rsidRPr="00B9545A" w14:paraId="1EF916E1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C280E1" w14:textId="1C8DA801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24D6FA80" w14:textId="009C2D48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654D445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6037C0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947B50B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32AFEEFC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EF6BD6" w14:textId="3173CE14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0008D021" w14:textId="45704F3A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D253E3A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D138C6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7BD53B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010E2856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6FF604" w14:textId="4C007F07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3C3DC155" w14:textId="2D057543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82EB777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41250D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5372EE1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74DC915B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2E205F" w14:textId="4D38C654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5F9C87AC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0DA871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03B5D8" w14:textId="278CD479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F63DB30" w14:textId="564F1AC8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51A07" w:rsidRPr="00B9545A" w14:paraId="5D992E09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C156DB" w14:textId="02575C9A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</w:t>
            </w:r>
          </w:p>
        </w:tc>
        <w:tc>
          <w:tcPr>
            <w:tcW w:w="1417" w:type="dxa"/>
          </w:tcPr>
          <w:p w14:paraId="302DE0B5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124EBA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6320A5" w14:textId="60BFF382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DE82325" w14:textId="33C35415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51A07" w:rsidRPr="00B9545A" w14:paraId="28A599C7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888092D" w14:textId="3FED2AA0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Márcia Elizabeth Martins</w:t>
            </w:r>
          </w:p>
        </w:tc>
        <w:tc>
          <w:tcPr>
            <w:tcW w:w="1417" w:type="dxa"/>
          </w:tcPr>
          <w:p w14:paraId="75D4F17D" w14:textId="28DFCE98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5414911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9CC002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C7ED45B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4A1D954C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091E5D" w14:textId="0D3680C0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1CDEC308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ECDD74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872ED" w14:textId="3EED9BFE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35DA206" w14:textId="677D72E8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51A07" w:rsidRPr="00B9545A" w14:paraId="32F17969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F56BA2" w14:textId="40BF9134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  <w:vAlign w:val="center"/>
          </w:tcPr>
          <w:p w14:paraId="412F1CB0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6C6913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07CF47" w14:textId="3C8629FA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7A7944F" w14:textId="52AE20D9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51A07" w:rsidRPr="00B9545A" w14:paraId="1EA6F42B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CB7B65" w14:textId="7553C628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3D49D21E" w14:textId="6F68F730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40EAFA0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46816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CA0176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227064BC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5F1E978" w14:textId="709029E4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</w:t>
            </w:r>
          </w:p>
        </w:tc>
        <w:tc>
          <w:tcPr>
            <w:tcW w:w="1417" w:type="dxa"/>
          </w:tcPr>
          <w:p w14:paraId="2C965DE3" w14:textId="1FC1F88D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F9C9746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6408AF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9ADFA83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40DBEDD6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D53E90" w14:textId="618C3A23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2BCDF1FB" w14:textId="76651ACC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6C8F198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E90BAB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871627B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3A345EA8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400CD3" w14:textId="07AE530B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4438CB93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6A6D6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9B30D1" w14:textId="02053956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4AC89EF" w14:textId="7D2EF441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51A07" w:rsidRPr="00B9545A" w14:paraId="4D97ACC9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6201BCA" w14:textId="36476F6F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18D6D62C" w14:textId="5DE35C9F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4E31BE5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B1E5BA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EC6D9A1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1A60803F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CC76CE" w14:textId="01B5EA5F" w:rsidR="00C51A07" w:rsidRPr="00C51A07" w:rsidRDefault="00C51A07" w:rsidP="00C51A07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51A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F6AA3C" w14:textId="784A8529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5ED7AC4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8B892C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E1A19E8" w14:textId="77777777" w:rsidR="00C51A07" w:rsidRPr="0079298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1A07" w:rsidRPr="00B9545A" w14:paraId="5E5009D4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24B5C0" w14:textId="77777777" w:rsidR="00C51A07" w:rsidRPr="00310BB6" w:rsidRDefault="00C51A07" w:rsidP="00C51A07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79298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25D3774" w14:textId="76912158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14:paraId="3D253988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1CDF76" w14:textId="77777777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6B58F87" w14:textId="2F2CCF04" w:rsidR="00C51A07" w:rsidRPr="0079298A" w:rsidRDefault="00C51A07" w:rsidP="00C51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</w:t>
            </w:r>
          </w:p>
        </w:tc>
      </w:tr>
      <w:tr w:rsidR="00C51A07" w:rsidRPr="009116E7" w14:paraId="0B41C48B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5F769" w14:textId="77777777" w:rsidR="00C51A07" w:rsidRPr="00B9545A" w:rsidRDefault="00C51A07" w:rsidP="00C51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415879" w14:textId="77777777" w:rsidR="00C51A07" w:rsidRPr="00B9545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EC184A" w14:textId="77777777" w:rsidR="00C51A07" w:rsidRPr="00B9545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C6C8BF4" w14:textId="77777777" w:rsidR="00C51A07" w:rsidRPr="00B9545A" w:rsidRDefault="00C51A07" w:rsidP="00C51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D6DE0" w:rsidRPr="009116E7" w14:paraId="67496F09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51DC51C" w14:textId="77777777" w:rsidR="009D6DE0" w:rsidRPr="009116E7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Histórico da votação:  </w:t>
            </w:r>
          </w:p>
          <w:p w14:paraId="121FC15B" w14:textId="77777777" w:rsidR="009D6DE0" w:rsidRPr="009116E7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</w:tc>
      </w:tr>
      <w:tr w:rsidR="009D6DE0" w:rsidRPr="009116E7" w14:paraId="1CE7B91D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735A834" w14:textId="77777777" w:rsidR="009D6DE0" w:rsidRPr="009116E7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Plenária Ordinária nº 145</w:t>
            </w:r>
          </w:p>
          <w:p w14:paraId="30829700" w14:textId="77777777" w:rsidR="009D6DE0" w:rsidRPr="009116E7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</w:tc>
      </w:tr>
      <w:tr w:rsidR="009D6DE0" w:rsidRPr="009116E7" w14:paraId="58C97351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0B54669" w14:textId="77777777" w:rsidR="009D6DE0" w:rsidRPr="0079298A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Data: </w:t>
            </w:r>
            <w:r w:rsidRPr="000B7650">
              <w:rPr>
                <w:rFonts w:asciiTheme="minorHAnsi" w:eastAsia="Times New Roman" w:hAnsiTheme="minorHAnsi" w:cstheme="minorHAnsi"/>
                <w:sz w:val="20"/>
                <w:szCs w:val="22"/>
              </w:rPr>
              <w:t>30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6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/2023 </w:t>
            </w:r>
          </w:p>
          <w:p w14:paraId="455AD873" w14:textId="77777777" w:rsidR="009D6DE0" w:rsidRPr="0079298A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  <w:p w14:paraId="492E975C" w14:textId="0107F498" w:rsidR="009D6DE0" w:rsidRPr="0079298A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 xml:space="preserve">DPO-RS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>65</w:t>
            </w:r>
            <w:r w:rsidR="00C51A07">
              <w:rPr>
                <w:rFonts w:asciiTheme="minorHAnsi" w:hAnsiTheme="minorHAnsi" w:cstheme="minorHAnsi"/>
                <w:bCs/>
                <w:sz w:val="20"/>
                <w:szCs w:val="22"/>
              </w:rPr>
              <w:t>3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</w:p>
          <w:p w14:paraId="1B7172B9" w14:textId="77777777" w:rsidR="009D6DE0" w:rsidRPr="0079298A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A4AF5ED" w14:textId="77777777" w:rsidR="009D6DE0" w:rsidRPr="0079298A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9D6DE0" w:rsidRPr="009116E7" w14:paraId="652CCD70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4359CBAF" w14:textId="5EE5CBC7" w:rsidR="009D6DE0" w:rsidRPr="0079298A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ão: </w:t>
            </w:r>
            <w:r w:rsidRPr="00C51A07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Favoráveis (13) Ausências (0</w:t>
            </w:r>
            <w:r w:rsidR="00C51A07" w:rsidRPr="00C51A07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7</w:t>
            </w:r>
            <w:r w:rsidRPr="00C51A07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) Total (20)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 </w:t>
            </w:r>
          </w:p>
          <w:p w14:paraId="66E7C992" w14:textId="77777777" w:rsidR="009D6DE0" w:rsidRPr="0079298A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</w:tc>
      </w:tr>
      <w:tr w:rsidR="009D6DE0" w:rsidRPr="009116E7" w14:paraId="75F18AEF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2D23502" w14:textId="77777777" w:rsidR="009D6DE0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Votos registrados com chamada nominal.</w:t>
            </w:r>
          </w:p>
          <w:p w14:paraId="55482FBE" w14:textId="77777777" w:rsidR="009D6DE0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</w:p>
          <w:p w14:paraId="4D5C77B2" w14:textId="77777777" w:rsidR="009D6DE0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</w:p>
          <w:p w14:paraId="6F68D92E" w14:textId="77777777" w:rsidR="009D6DE0" w:rsidRPr="009116E7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</w:p>
          <w:p w14:paraId="24609AAC" w14:textId="77777777" w:rsidR="009D6DE0" w:rsidRPr="009116E7" w:rsidRDefault="009D6DE0" w:rsidP="0036762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ab/>
            </w:r>
          </w:p>
          <w:p w14:paraId="291A6DC3" w14:textId="77777777" w:rsidR="009D6DE0" w:rsidRPr="009116E7" w:rsidRDefault="009D6DE0" w:rsidP="0036762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9D6DE0" w:rsidRPr="009116E7" w14:paraId="792D7D42" w14:textId="77777777" w:rsidTr="00367627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4E6BDC66" w14:textId="77777777" w:rsidR="009D6DE0" w:rsidRPr="00322076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1AF30C59" w14:textId="77777777" w:rsidR="009D6DE0" w:rsidRPr="00322076" w:rsidRDefault="009D6DE0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Presidente da Reunião: Tiago Holzmann da Silva     </w:t>
            </w:r>
          </w:p>
        </w:tc>
      </w:tr>
    </w:tbl>
    <w:p w14:paraId="50CD7E37" w14:textId="77777777" w:rsidR="007A38E8" w:rsidRDefault="007A38E8" w:rsidP="009D6DE0">
      <w:pPr>
        <w:tabs>
          <w:tab w:val="left" w:pos="4395"/>
        </w:tabs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</w:rPr>
      </w:pPr>
    </w:p>
    <w:sectPr w:rsidR="007A38E8" w:rsidSect="00756C3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0389" w14:textId="77777777" w:rsidR="00B71022" w:rsidRDefault="00B71022">
      <w:r>
        <w:separator/>
      </w:r>
    </w:p>
  </w:endnote>
  <w:endnote w:type="continuationSeparator" w:id="0">
    <w:p w14:paraId="3C63237D" w14:textId="77777777" w:rsidR="00B71022" w:rsidRDefault="00B7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Times New Roman"/>
    <w:charset w:val="00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AB4" w14:textId="77777777" w:rsidR="009D6DE0" w:rsidRDefault="009D6DE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2F097E43" w14:textId="77777777" w:rsidR="009D6DE0" w:rsidRDefault="009D6DE0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A3DA623" w14:textId="77777777" w:rsidR="009D6DE0" w:rsidRDefault="009D6DE0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DB55" w14:textId="77777777" w:rsidR="009D6DE0" w:rsidRDefault="009D6DE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ECF226D" w14:textId="77777777" w:rsidR="009D6DE0" w:rsidRDefault="009D6DE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3B685B35" w14:textId="77777777" w:rsidR="009D6DE0" w:rsidRDefault="009D6DE0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2D7FCF28" w14:textId="77777777" w:rsidR="009D6DE0" w:rsidRDefault="009D6DE0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F12D" w14:textId="77777777" w:rsidR="001F6CD2" w:rsidRDefault="009D6DE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A251839" w14:textId="77777777" w:rsidR="001F6CD2" w:rsidRDefault="00865D9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2C1F2A7C" w14:textId="77777777" w:rsidR="001F6CD2" w:rsidRDefault="009D6DE0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2ADA07A" w14:textId="77777777" w:rsidR="001F6CD2" w:rsidRDefault="009D6DE0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19F24276" w14:textId="77777777" w:rsidR="001F6CD2" w:rsidRDefault="00865D95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A659" w14:textId="77777777" w:rsidR="001F6CD2" w:rsidRDefault="009D6DE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736F88F5" w14:textId="77777777" w:rsidR="001F6CD2" w:rsidRDefault="00865D9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8E61D09" w14:textId="77777777" w:rsidR="001F6CD2" w:rsidRDefault="009D6DE0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EF4A9D3" w14:textId="77777777" w:rsidR="001F6CD2" w:rsidRDefault="009D6DE0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1B23EF67" w14:textId="77777777" w:rsidR="001F6CD2" w:rsidRDefault="00865D95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6086" w14:textId="77777777" w:rsidR="00B71022" w:rsidRDefault="00B71022">
      <w:r>
        <w:separator/>
      </w:r>
    </w:p>
  </w:footnote>
  <w:footnote w:type="continuationSeparator" w:id="0">
    <w:p w14:paraId="01D02D28" w14:textId="77777777" w:rsidR="00B71022" w:rsidRDefault="00B71022">
      <w:r>
        <w:continuationSeparator/>
      </w:r>
    </w:p>
  </w:footnote>
  <w:footnote w:id="1">
    <w:p w14:paraId="08E011C1" w14:textId="77777777" w:rsidR="006E4256" w:rsidRDefault="006E4256" w:rsidP="006E4256">
      <w:pPr>
        <w:rPr>
          <w:rFonts w:ascii="Arial" w:eastAsia="Arial" w:hAnsi="Arial" w:cs="Arial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Pesquisa CAU/BR e Instituto Datafolha. Disponível em: </w:t>
      </w:r>
      <w:hyperlink r:id="rId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https://www.caubr.gov.br/pesquisa2015/objetivos-e-metodologia/</w:t>
        </w:r>
      </w:hyperlink>
    </w:p>
    <w:p w14:paraId="1715BE35" w14:textId="77777777" w:rsidR="006E4256" w:rsidRDefault="006E4256" w:rsidP="006E42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FBD6" w14:textId="77777777" w:rsidR="009D6DE0" w:rsidRDefault="009D6DE0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0" distR="0" simplePos="0" relativeHeight="251667456" behindDoc="1" locked="0" layoutInCell="1" allowOverlap="1" wp14:anchorId="3EFA1DAE" wp14:editId="1C518078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CAE6" w14:textId="77777777" w:rsidR="009D6DE0" w:rsidRDefault="009D6DE0">
    <w:pPr>
      <w:pStyle w:val="Cabealho"/>
      <w:jc w:val="right"/>
    </w:pPr>
    <w:r>
      <w:rPr>
        <w:noProof/>
      </w:rPr>
      <w:drawing>
        <wp:anchor distT="0" distB="0" distL="0" distR="0" simplePos="0" relativeHeight="251666432" behindDoc="1" locked="0" layoutInCell="1" allowOverlap="1" wp14:anchorId="7DBA306A" wp14:editId="6AE054E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26938D" w14:textId="77777777" w:rsidR="009D6DE0" w:rsidRDefault="009D6DE0">
    <w:pPr>
      <w:pStyle w:val="Cabealho"/>
      <w:jc w:val="right"/>
    </w:pPr>
  </w:p>
  <w:p w14:paraId="22F75254" w14:textId="77777777" w:rsidR="009D6DE0" w:rsidRDefault="009D6DE0">
    <w:pPr>
      <w:pStyle w:val="Cabealho"/>
      <w:jc w:val="right"/>
    </w:pPr>
  </w:p>
  <w:p w14:paraId="051E2CA6" w14:textId="77777777" w:rsidR="009D6DE0" w:rsidRDefault="009D6DE0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DFFB" w14:textId="77777777" w:rsidR="001F6CD2" w:rsidRDefault="009D6DE0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0" distR="0" simplePos="0" relativeHeight="251670528" behindDoc="1" locked="0" layoutInCell="1" allowOverlap="1" wp14:anchorId="4A4256AC" wp14:editId="6E03DF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550492777" name="Imagem 155049277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A87214" w14:textId="77777777" w:rsidR="001F6CD2" w:rsidRDefault="00865D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6BA0" w14:textId="77777777" w:rsidR="001F6CD2" w:rsidRDefault="009D6DE0">
    <w:pPr>
      <w:pStyle w:val="Cabealho"/>
    </w:pPr>
    <w:r>
      <w:rPr>
        <w:noProof/>
      </w:rPr>
      <w:drawing>
        <wp:anchor distT="0" distB="0" distL="0" distR="0" simplePos="0" relativeHeight="251669504" behindDoc="1" locked="0" layoutInCell="1" allowOverlap="1" wp14:anchorId="25A2E5C2" wp14:editId="75550170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1700102597" name="Imagem 170010259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94CF4A" w14:textId="77777777" w:rsidR="001F6CD2" w:rsidRDefault="00865D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47E2E"/>
    <w:multiLevelType w:val="multilevel"/>
    <w:tmpl w:val="17DE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3A3028"/>
    <w:multiLevelType w:val="multilevel"/>
    <w:tmpl w:val="460C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E559E"/>
    <w:multiLevelType w:val="multilevel"/>
    <w:tmpl w:val="8758B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3F1D9E"/>
    <w:multiLevelType w:val="hybridMultilevel"/>
    <w:tmpl w:val="FF5621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994544">
    <w:abstractNumId w:val="2"/>
  </w:num>
  <w:num w:numId="2" w16cid:durableId="1952543811">
    <w:abstractNumId w:val="3"/>
  </w:num>
  <w:num w:numId="3" w16cid:durableId="1697075422">
    <w:abstractNumId w:val="0"/>
  </w:num>
  <w:num w:numId="4" w16cid:durableId="1878927123">
    <w:abstractNumId w:val="5"/>
  </w:num>
  <w:num w:numId="5" w16cid:durableId="6101750">
    <w:abstractNumId w:val="1"/>
  </w:num>
  <w:num w:numId="6" w16cid:durableId="207658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E8"/>
    <w:rsid w:val="00054490"/>
    <w:rsid w:val="003F0575"/>
    <w:rsid w:val="006059B6"/>
    <w:rsid w:val="006E0B7F"/>
    <w:rsid w:val="006E4256"/>
    <w:rsid w:val="007953E0"/>
    <w:rsid w:val="007A38E8"/>
    <w:rsid w:val="00865D95"/>
    <w:rsid w:val="00876C24"/>
    <w:rsid w:val="009A3BE0"/>
    <w:rsid w:val="009D6DE0"/>
    <w:rsid w:val="00B71022"/>
    <w:rsid w:val="00C51A07"/>
    <w:rsid w:val="00DC08C4"/>
    <w:rsid w:val="00EF2562"/>
    <w:rsid w:val="00E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B413"/>
  <w15:docId w15:val="{6914AF15-9BE8-4DEB-A54D-670B5AFD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0">
    <w:name w:val="Table Normal"/>
    <w:uiPriority w:val="2"/>
    <w:qFormat/>
    <w:rsid w:val="006D53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  <w:style w:type="table" w:customStyle="1" w:styleId="a">
    <w:basedOn w:val="TableNormal0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0"/>
    <w:tblPr>
      <w:tblStyleRowBandSize w:val="1"/>
      <w:tblStyleColBandSize w:val="1"/>
    </w:tblPr>
  </w:style>
  <w:style w:type="character" w:customStyle="1" w:styleId="Caracteresdenotaderodap">
    <w:name w:val="Caracteres de nota de rodapé"/>
    <w:qFormat/>
    <w:rsid w:val="006E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ubr.gov.br/pesquisa2015/objetivos-e-metodolog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O5YmHczQO2kU+BUQyqtRQVTS5w==">CgMxLjAyCGguZ2pkZ3hzOAByITFRalJPeGwwb3AwYzYtSWVJTGl4T29vSG94QldPbjlrSg==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2446</Words>
  <Characters>13209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9</cp:revision>
  <dcterms:created xsi:type="dcterms:W3CDTF">2023-02-26T16:18:00Z</dcterms:created>
  <dcterms:modified xsi:type="dcterms:W3CDTF">2023-07-03T20:37:00Z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