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78" w:type="dxa"/>
        <w:tblInd w:w="105" w:type="dxa"/>
        <w:tblLook w:val="04A0" w:firstRow="1" w:lastRow="0" w:firstColumn="1" w:lastColumn="0" w:noHBand="0" w:noVBand="1"/>
      </w:tblPr>
      <w:tblGrid>
        <w:gridCol w:w="1986"/>
        <w:gridCol w:w="2585"/>
        <w:gridCol w:w="682"/>
        <w:gridCol w:w="598"/>
        <w:gridCol w:w="3492"/>
        <w:gridCol w:w="35"/>
      </w:tblGrid>
      <w:tr w:rsidR="00107B9E" w:rsidRPr="00457933" w:rsidTr="00294D0D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B9E" w:rsidRPr="00457933" w:rsidRDefault="00781DF5" w:rsidP="00195176">
            <w:pPr>
              <w:jc w:val="center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 xml:space="preserve">SÚMULA </w:t>
            </w:r>
            <w:r w:rsidR="00B20997" w:rsidRPr="00457933">
              <w:rPr>
                <w:rFonts w:ascii="Times New Roman" w:hAnsi="Times New Roman"/>
                <w:sz w:val="21"/>
                <w:szCs w:val="21"/>
              </w:rPr>
              <w:t>0</w:t>
            </w:r>
            <w:r w:rsidR="00E85978" w:rsidRPr="00457933">
              <w:rPr>
                <w:rFonts w:ascii="Times New Roman" w:hAnsi="Times New Roman"/>
                <w:sz w:val="21"/>
                <w:szCs w:val="21"/>
              </w:rPr>
              <w:t>6</w:t>
            </w:r>
            <w:r w:rsidR="00B20997" w:rsidRPr="00457933">
              <w:rPr>
                <w:rFonts w:ascii="Times New Roman" w:hAnsi="Times New Roman"/>
                <w:sz w:val="21"/>
                <w:szCs w:val="21"/>
              </w:rPr>
              <w:t>ª</w:t>
            </w:r>
            <w:r w:rsidR="004303BE" w:rsidRPr="00457933">
              <w:rPr>
                <w:rFonts w:ascii="Times New Roman" w:hAnsi="Times New Roman"/>
                <w:sz w:val="21"/>
                <w:szCs w:val="21"/>
              </w:rPr>
              <w:t xml:space="preserve"> REUNIÃO </w:t>
            </w:r>
            <w:r w:rsidR="00B138A5" w:rsidRPr="00457933">
              <w:rPr>
                <w:rFonts w:ascii="Times New Roman" w:hAnsi="Times New Roman"/>
                <w:sz w:val="21"/>
                <w:szCs w:val="21"/>
              </w:rPr>
              <w:t>ORDINÁRIA C</w:t>
            </w:r>
            <w:r w:rsidR="00620E0A" w:rsidRPr="00457933">
              <w:rPr>
                <w:rFonts w:ascii="Times New Roman" w:hAnsi="Times New Roman"/>
                <w:sz w:val="21"/>
                <w:szCs w:val="21"/>
              </w:rPr>
              <w:t>TC</w:t>
            </w:r>
            <w:r w:rsidR="004303BE" w:rsidRPr="00457933">
              <w:rPr>
                <w:rFonts w:ascii="Times New Roman" w:hAnsi="Times New Roman"/>
                <w:sz w:val="21"/>
                <w:szCs w:val="21"/>
              </w:rPr>
              <w:t>-CAU/RS</w:t>
            </w:r>
          </w:p>
        </w:tc>
      </w:tr>
      <w:tr w:rsidR="00107B9E" w:rsidRPr="00457933" w:rsidTr="00294D0D">
        <w:tc>
          <w:tcPr>
            <w:tcW w:w="9378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57933" w:rsidRDefault="00107B9E" w:rsidP="004303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01740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57933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57933" w:rsidRDefault="00E85978" w:rsidP="00E859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13</w:t>
            </w:r>
            <w:r w:rsidR="00195176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de </w:t>
            </w: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junho</w:t>
            </w:r>
            <w:r w:rsidR="00781DF5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3C62FC" w:rsidRPr="00457933">
              <w:rPr>
                <w:rFonts w:ascii="Times New Roman" w:eastAsia="MS Mincho" w:hAnsi="Times New Roman"/>
                <w:sz w:val="21"/>
                <w:szCs w:val="21"/>
              </w:rPr>
              <w:t>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57933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HORÁRIO:</w:t>
            </w:r>
          </w:p>
        </w:tc>
        <w:tc>
          <w:tcPr>
            <w:tcW w:w="35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57933" w:rsidRDefault="00B20997" w:rsidP="00B20997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Das</w:t>
            </w:r>
            <w:r w:rsidR="003C62FC" w:rsidRPr="00457933">
              <w:rPr>
                <w:rFonts w:ascii="Times New Roman" w:eastAsia="MS Mincho" w:hAnsi="Times New Roman"/>
                <w:sz w:val="21"/>
                <w:szCs w:val="21"/>
              </w:rPr>
              <w:t>14h</w:t>
            </w: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às 17h</w:t>
            </w:r>
          </w:p>
        </w:tc>
      </w:tr>
      <w:tr w:rsidR="004303BE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57933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LOCAL: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57933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Sede do CAU/RS (Rua Dona Laura, 320 –</w:t>
            </w:r>
            <w:r w:rsidR="00551153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Rio Branco)</w:t>
            </w: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Porto Alegre –</w:t>
            </w:r>
            <w:r w:rsidR="00551153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RS</w:t>
            </w:r>
          </w:p>
        </w:tc>
      </w:tr>
      <w:tr w:rsidR="004303BE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57933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620E0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57933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PARTICIPANTES: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457933" w:rsidRDefault="00620E0A" w:rsidP="0028192B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 xml:space="preserve">Matias Revello </w:t>
            </w:r>
            <w:r w:rsidR="0028192B" w:rsidRPr="00457933">
              <w:rPr>
                <w:rFonts w:ascii="Times New Roman" w:hAnsi="Times New Roman"/>
                <w:sz w:val="21"/>
                <w:szCs w:val="21"/>
              </w:rPr>
              <w:t>Vázquez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57933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Coordenador</w:t>
            </w:r>
          </w:p>
        </w:tc>
      </w:tr>
      <w:tr w:rsidR="00620E0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57933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457933" w:rsidRDefault="00620E0A" w:rsidP="00620E0A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57933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Coordenador Adjunto</w:t>
            </w:r>
          </w:p>
        </w:tc>
      </w:tr>
      <w:tr w:rsidR="00620E0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57933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457933" w:rsidRDefault="00620E0A" w:rsidP="00620E0A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Deise Flores</w:t>
            </w:r>
            <w:r w:rsidR="0090492E" w:rsidRPr="00457933">
              <w:rPr>
                <w:rFonts w:ascii="Times New Roman" w:hAnsi="Times New Roman"/>
                <w:sz w:val="21"/>
                <w:szCs w:val="21"/>
              </w:rPr>
              <w:t xml:space="preserve"> Santos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57933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Membro</w:t>
            </w:r>
          </w:p>
        </w:tc>
      </w:tr>
      <w:tr w:rsidR="00781DF5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Luciano Antunes de Oliveira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Gerente de Comunicação</w:t>
            </w:r>
          </w:p>
        </w:tc>
      </w:tr>
      <w:tr w:rsidR="00781DF5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Marcele Acosta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Coordenadora da Unidade de Comunicação</w:t>
            </w:r>
          </w:p>
        </w:tc>
      </w:tr>
      <w:tr w:rsidR="00781DF5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Secretária Executiva</w:t>
            </w:r>
          </w:p>
        </w:tc>
      </w:tr>
      <w:tr w:rsidR="005F4CA7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F4CA7" w:rsidRPr="00457933" w:rsidRDefault="005F4CA7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CONVIDADO: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CA7" w:rsidRPr="00457933" w:rsidRDefault="005F4CA7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Gelson Benatti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CA7" w:rsidRPr="00457933" w:rsidRDefault="005F4CA7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Gerente de Planejamento</w:t>
            </w:r>
          </w:p>
        </w:tc>
      </w:tr>
      <w:tr w:rsidR="00781DF5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81DF5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Verificação de quórum</w:t>
            </w:r>
          </w:p>
        </w:tc>
      </w:tr>
      <w:tr w:rsidR="00781DF5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Presenças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810D6E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Todos os convocados estão presentes.</w:t>
            </w:r>
          </w:p>
        </w:tc>
      </w:tr>
      <w:tr w:rsidR="00781DF5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81DF5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Comunicações</w:t>
            </w:r>
          </w:p>
        </w:tc>
      </w:tr>
      <w:tr w:rsidR="00B20997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457933" w:rsidRDefault="000D309E" w:rsidP="00810D6E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Não há comunicações.</w:t>
            </w:r>
          </w:p>
        </w:tc>
      </w:tr>
      <w:tr w:rsidR="00781DF5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57933" w:rsidRDefault="000D309E" w:rsidP="00781DF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781DF5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57933" w:rsidRDefault="00781DF5" w:rsidP="00781DF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4DF7" w:rsidRPr="00457933" w:rsidRDefault="000D309E" w:rsidP="00834DF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DB101D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DB101D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457933" w:rsidRDefault="00DB101D" w:rsidP="00DB101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Apresentação da pauta e extra pauta</w:t>
            </w:r>
          </w:p>
        </w:tc>
      </w:tr>
      <w:tr w:rsidR="00DB101D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Inclusão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57933" w:rsidRDefault="001904CB" w:rsidP="000C029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DB101D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57933" w:rsidRDefault="001904CB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DB101D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DB101D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457933" w:rsidRDefault="00DB101D" w:rsidP="00DB101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Ordem do dia</w:t>
            </w:r>
          </w:p>
        </w:tc>
      </w:tr>
      <w:tr w:rsidR="00DB101D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57933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A361D" w:rsidRPr="00457933" w:rsidRDefault="008A361D" w:rsidP="005D2720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Planejamento e ações</w:t>
            </w:r>
          </w:p>
        </w:tc>
      </w:tr>
      <w:tr w:rsidR="00295D2A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95D2A" w:rsidRPr="00457933" w:rsidRDefault="00295D2A" w:rsidP="00295D2A">
            <w:pPr>
              <w:pStyle w:val="PargrafodaLista"/>
              <w:numPr>
                <w:ilvl w:val="1"/>
                <w:numId w:val="38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Análise e definição de ações a partir dos resultados do Workshop - finalização da primeira fase do Planejamento Estratégico:</w:t>
            </w:r>
          </w:p>
        </w:tc>
      </w:tr>
      <w:tr w:rsidR="00FA492F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457933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457933" w:rsidRDefault="000D309E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FA492F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457933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457933" w:rsidRDefault="000D309E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Gelson Benatti</w:t>
            </w:r>
          </w:p>
        </w:tc>
      </w:tr>
      <w:tr w:rsidR="00FA492F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457933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63F2" w:rsidRPr="00457933" w:rsidRDefault="000D309E" w:rsidP="0069608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O gerente Gelson 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Benatti </w:t>
            </w: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fala que finalizou a compilação das informações do 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1º </w:t>
            </w: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workshop e relata que a dinâmica apontou situações também pertinentes à outras Comissões.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8A75B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Apresenta 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o resumo dos resultado e 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informa que a Presidência está definindo </w:t>
            </w:r>
            <w:r w:rsidR="008422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um grupo de projetos prioritários </w:t>
            </w:r>
            <w:r w:rsidR="00DF6CF3" w:rsidRPr="00457933">
              <w:rPr>
                <w:rFonts w:ascii="Times New Roman" w:eastAsia="MS Mincho" w:hAnsi="Times New Roman"/>
                <w:sz w:val="21"/>
                <w:szCs w:val="21"/>
              </w:rPr>
              <w:t>d</w:t>
            </w:r>
            <w:r w:rsidR="008422C2" w:rsidRPr="00457933">
              <w:rPr>
                <w:rFonts w:ascii="Times New Roman" w:eastAsia="MS Mincho" w:hAnsi="Times New Roman"/>
                <w:sz w:val="21"/>
                <w:szCs w:val="21"/>
              </w:rPr>
              <w:t>o CAU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, a partir da plataforma de campanha, que irá compor </w:t>
            </w:r>
            <w:r w:rsidR="00DF6CF3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Planejamento Estratégico do Conselho, sendo que 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cada </w:t>
            </w:r>
            <w:r w:rsidR="00DF6CF3" w:rsidRPr="00457933">
              <w:rPr>
                <w:rFonts w:ascii="Times New Roman" w:eastAsia="MS Mincho" w:hAnsi="Times New Roman"/>
                <w:sz w:val="21"/>
                <w:szCs w:val="21"/>
              </w:rPr>
              <w:t>Comiss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ão </w:t>
            </w:r>
            <w:r w:rsidR="00DF6CF3" w:rsidRPr="00457933">
              <w:rPr>
                <w:rFonts w:ascii="Times New Roman" w:eastAsia="MS Mincho" w:hAnsi="Times New Roman"/>
                <w:sz w:val="21"/>
                <w:szCs w:val="21"/>
              </w:rPr>
              <w:t>est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>á</w:t>
            </w:r>
            <w:r w:rsidR="00DF6CF3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elencando o seu projeto, 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esses então </w:t>
            </w:r>
            <w:r w:rsidR="00DF6CF3" w:rsidRPr="00457933">
              <w:rPr>
                <w:rFonts w:ascii="Times New Roman" w:eastAsia="MS Mincho" w:hAnsi="Times New Roman"/>
                <w:sz w:val="21"/>
                <w:szCs w:val="21"/>
              </w:rPr>
              <w:t>considerados adjacentes.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D84C30" w:rsidRPr="00457933">
              <w:rPr>
                <w:rFonts w:ascii="Times New Roman" w:eastAsia="MS Mincho" w:hAnsi="Times New Roman"/>
                <w:sz w:val="21"/>
                <w:szCs w:val="21"/>
              </w:rPr>
              <w:t>O conselheiro Vinícius</w:t>
            </w:r>
            <w:r w:rsidR="00DF6CF3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Souza</w:t>
            </w:r>
            <w:r w:rsidR="00D84C30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diz que a CPUA-CAU/RS, Comissão da qual é coordenador, está finalizando o mapeamento das representações no estado e que entende necessário um encontro com os representantes, a fim de aproximá-los do Conselho e orientá-los quanto ao posicionamento do CAU.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D84C30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A Comissão 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>concorda</w:t>
            </w:r>
            <w:r w:rsidR="00D84C30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que esse é um projeto estratégico da CPUA-CAU/RS, visto que é mais político do que de comunicação.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D84C30" w:rsidRPr="00457933">
              <w:rPr>
                <w:rFonts w:ascii="Times New Roman" w:eastAsia="MS Mincho" w:hAnsi="Times New Roman"/>
                <w:sz w:val="21"/>
                <w:szCs w:val="21"/>
              </w:rPr>
              <w:t>O conselheiro Vinícius então solicita que o tema seja pautado na reunião da CPUA-CAU/RS como “projeto estratégico da Comissão”.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Após a apresentação dos resultados, o Gelson </w:t>
            </w:r>
            <w:r w:rsidR="00835A60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Benatti sugere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que </w:t>
            </w:r>
            <w:r w:rsidR="00835A60" w:rsidRPr="00457933">
              <w:rPr>
                <w:rFonts w:ascii="Times New Roman" w:eastAsia="MS Mincho" w:hAnsi="Times New Roman"/>
                <w:sz w:val="21"/>
                <w:szCs w:val="21"/>
              </w:rPr>
              <w:t>seja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realizado um novo workshop em novembro, com os mesmos participantes, sendo que cada um traria mais um convidado. Esse evento servirá para apresentar as ações realizadas pelo CAU desde o 1º workshop e submeter à avaliação dos participantes as proposições da Comissão.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Também sugere que 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se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>agregue a esse evento um encontro com os representantes designados pelo CAU/RS.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O coordenador Matias </w:t>
            </w:r>
            <w:r w:rsidR="00835A60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Vázquez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lembra que deve ser enviada uma carta de agradecimento aos participantes com o resumo dos resultados e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lastRenderedPageBreak/>
              <w:t>já informando que haverá um novo evento em novembro.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Solicita que 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>os assuntos se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>ja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>m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validado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>s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com o Presidente 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>antes d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>os encaminhamento</w:t>
            </w:r>
            <w:r w:rsidR="006036E1" w:rsidRPr="00457933">
              <w:rPr>
                <w:rFonts w:ascii="Times New Roman" w:eastAsia="MS Mincho" w:hAnsi="Times New Roman"/>
                <w:sz w:val="21"/>
                <w:szCs w:val="21"/>
              </w:rPr>
              <w:t>s</w:t>
            </w:r>
            <w:r w:rsidR="00E635C2" w:rsidRPr="00457933">
              <w:rPr>
                <w:rFonts w:ascii="Times New Roman" w:eastAsia="MS Mincho" w:hAnsi="Times New Roman"/>
                <w:sz w:val="21"/>
                <w:szCs w:val="21"/>
              </w:rPr>
              <w:t>.</w:t>
            </w:r>
          </w:p>
        </w:tc>
      </w:tr>
      <w:tr w:rsidR="00FA492F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457933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457933" w:rsidRDefault="00BB5878" w:rsidP="00BB587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Verificar om o Presidente a possibilidade de realização do 2º workshop, bem como o envio da carta de agradecimento e material aos participantes do 1º evento.</w:t>
            </w:r>
          </w:p>
        </w:tc>
      </w:tr>
      <w:tr w:rsidR="00C5245C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5245C" w:rsidRPr="00457933" w:rsidRDefault="00C5245C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45C" w:rsidRPr="00457933" w:rsidRDefault="00BB5878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Gelson Benatti | Matias Vázquez</w:t>
            </w:r>
          </w:p>
        </w:tc>
      </w:tr>
      <w:tr w:rsidR="00295D2A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1.2 Divulgação trimestral das ações do CAU/RS: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Gerência de Comunicação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Luciano Oliveira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295D2A" w:rsidP="0069608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A pauta se refere à participação do gerente Luciano no evento de Comunicação promovido pelo CAU/BR com os CAU/UF.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Ele fala que apresentou os resultados do workshop e que os demais CAU/UF identificaram como um case de sucesso.</w:t>
            </w:r>
            <w:r w:rsidR="00835A60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A apresentação elaborada pelo Gerente acompanhará a carta de agradecimento que será enviada por e-mail.</w:t>
            </w:r>
            <w:r w:rsidR="0069608F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835A60" w:rsidRPr="00457933">
              <w:rPr>
                <w:rFonts w:ascii="Times New Roman" w:eastAsia="MS Mincho" w:hAnsi="Times New Roman"/>
                <w:sz w:val="21"/>
                <w:szCs w:val="21"/>
              </w:rPr>
              <w:t>Considerando que o material está completo no que se refere às ações de comunicação do CAU, a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conselheira </w:t>
            </w:r>
            <w:r w:rsidR="00835A60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Deise Santos pede que seja </w:t>
            </w:r>
            <w:r w:rsidR="0002261C" w:rsidRPr="00457933">
              <w:rPr>
                <w:rFonts w:ascii="Times New Roman" w:eastAsia="MS Mincho" w:hAnsi="Times New Roman"/>
                <w:sz w:val="21"/>
                <w:szCs w:val="21"/>
              </w:rPr>
              <w:t>publicada uma nota com fotos no site e nas mídias sociais, que também será compartilhad</w:t>
            </w:r>
            <w:r w:rsidR="00BB5878" w:rsidRPr="00457933">
              <w:rPr>
                <w:rFonts w:ascii="Times New Roman" w:eastAsia="MS Mincho" w:hAnsi="Times New Roman"/>
                <w:sz w:val="21"/>
                <w:szCs w:val="21"/>
              </w:rPr>
              <w:t>a</w:t>
            </w:r>
            <w:r w:rsidR="0002261C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 pelos membros da Comissão via grupos de </w:t>
            </w:r>
            <w:proofErr w:type="spellStart"/>
            <w:r w:rsidR="0002261C" w:rsidRPr="00457933">
              <w:rPr>
                <w:rFonts w:ascii="Times New Roman" w:eastAsia="MS Mincho" w:hAnsi="Times New Roman"/>
                <w:i/>
                <w:sz w:val="21"/>
                <w:szCs w:val="21"/>
              </w:rPr>
              <w:t>Whatsapp</w:t>
            </w:r>
            <w:proofErr w:type="spellEnd"/>
            <w:r w:rsidR="0002261C" w:rsidRPr="00457933">
              <w:rPr>
                <w:rFonts w:ascii="Times New Roman" w:eastAsia="MS Mincho" w:hAnsi="Times New Roman"/>
                <w:sz w:val="21"/>
                <w:szCs w:val="21"/>
              </w:rPr>
              <w:t xml:space="preserve">. 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02261C" w:rsidP="00BB587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O gerente Luciano Oliveira verificará a possibilidade de divulgação, visto que há outras demandas urgentes da Presidência e da Fiscalização a serem finalizadas até o dia 15/06.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02261C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Luciano Oliveira.</w:t>
            </w:r>
          </w:p>
        </w:tc>
      </w:tr>
      <w:tr w:rsidR="00295D2A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156BB8">
            <w:pPr>
              <w:pStyle w:val="PargrafodaLista"/>
              <w:numPr>
                <w:ilvl w:val="1"/>
                <w:numId w:val="40"/>
              </w:numPr>
              <w:tabs>
                <w:tab w:val="left" w:pos="388"/>
              </w:tabs>
              <w:ind w:hanging="720"/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Avaliação das estratégias de comunicação do CAU/BR e impactos sobre a CTC-CAU/RS: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B941E0" w:rsidP="00B941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Gerência de Comunicação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B941E0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Luciano Oliveira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B941E0" w:rsidP="00BB587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O assunto foi tratado no item 1.2 da pauta.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B941E0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B941E0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295D2A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5D2720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Análise, discussão e definições sobre assuntos pertinentes à Comissão</w:t>
            </w: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pStyle w:val="PargrafodaLista"/>
              <w:numPr>
                <w:ilvl w:val="1"/>
                <w:numId w:val="38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Verificação e discussão dos materiais produzidos e divulgados pela CTC-CAU/RS: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BB5878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295D2A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95D2A" w:rsidRPr="00457933" w:rsidRDefault="00295D2A" w:rsidP="00295D2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D2A" w:rsidRPr="00457933" w:rsidRDefault="00BB5878" w:rsidP="00295D2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BB587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878" w:rsidRPr="00457933" w:rsidRDefault="00BB5878" w:rsidP="00BB587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Devido à extensa discussão dos demais itens, o assunto será pautado para a próxima reunião.</w:t>
            </w:r>
          </w:p>
        </w:tc>
      </w:tr>
      <w:tr w:rsidR="00BB587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Pautar para a próxima reunião</w:t>
            </w:r>
          </w:p>
        </w:tc>
      </w:tr>
      <w:tr w:rsidR="00BB587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pStyle w:val="PargrafodaLista"/>
              <w:numPr>
                <w:ilvl w:val="1"/>
                <w:numId w:val="38"/>
              </w:numPr>
              <w:tabs>
                <w:tab w:val="left" w:pos="388"/>
              </w:tabs>
              <w:ind w:left="0" w:firstLine="0"/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Definição sobre o canal de comunicação das Comissões do CAU/RS com a CTC-CAU/RS:</w:t>
            </w:r>
          </w:p>
        </w:tc>
      </w:tr>
      <w:tr w:rsidR="00BB587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BB587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BB587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878" w:rsidRPr="00457933" w:rsidRDefault="00BB5878" w:rsidP="00BB587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O item deverá compor a pauta da próxima reunião.</w:t>
            </w:r>
          </w:p>
        </w:tc>
      </w:tr>
      <w:tr w:rsidR="00BB587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878" w:rsidRPr="00457933" w:rsidRDefault="00BB5878" w:rsidP="00BB58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Pautar para a próxima reunião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B941E0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Eventos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DD7D19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CT</w:t>
            </w:r>
            <w:r w:rsidR="00DD7D19">
              <w:rPr>
                <w:rFonts w:ascii="Times New Roman" w:eastAsia="MS Mincho" w:hAnsi="Times New Roman"/>
                <w:sz w:val="21"/>
                <w:szCs w:val="21"/>
              </w:rPr>
              <w:t>COM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156BB8" w:rsidP="00156BB8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 xml:space="preserve">3.1 </w:t>
            </w: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Estabelecimento do protocolo e materiais para a representação nas formaturas:</w:t>
            </w:r>
          </w:p>
          <w:p w:rsidR="00DF6CF3" w:rsidRPr="00457933" w:rsidRDefault="00DF6CF3" w:rsidP="00156BB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Pautar para a próxima reunião.</w:t>
            </w:r>
          </w:p>
          <w:p w:rsidR="00156BB8" w:rsidRPr="00457933" w:rsidRDefault="00156BB8" w:rsidP="00156BB8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3.2 Análise agenda eventos do CAU/RS, programações e contrato Elo:</w:t>
            </w:r>
          </w:p>
          <w:p w:rsidR="00156BB8" w:rsidRPr="00457933" w:rsidRDefault="00DF6CF3" w:rsidP="00156BB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Pautar oportunamente, após a finalização do Plano de Comunicação.</w:t>
            </w:r>
          </w:p>
          <w:p w:rsidR="00156BB8" w:rsidRPr="00457933" w:rsidRDefault="00156BB8" w:rsidP="00156BB8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3.3 Discussão sobre o evento em Caxias do Sul:</w:t>
            </w:r>
          </w:p>
          <w:p w:rsidR="00156BB8" w:rsidRPr="00457933" w:rsidRDefault="00DF6CF3" w:rsidP="00693B38">
            <w:p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Retirar de pauta.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Dar andamento conforme definições da Comissão.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56BB8" w:rsidRPr="00457933" w:rsidTr="00294D0D">
        <w:trPr>
          <w:gridAfter w:val="1"/>
          <w:wAfter w:w="35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Revisão da agenda de reuniões</w:t>
            </w:r>
          </w:p>
        </w:tc>
      </w:tr>
      <w:tr w:rsidR="00156BB8" w:rsidRPr="00457933" w:rsidTr="00294D0D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DD7D19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CT</w:t>
            </w:r>
            <w:r w:rsidR="00DD7D19">
              <w:rPr>
                <w:rFonts w:ascii="Times New Roman" w:eastAsia="MS Mincho" w:hAnsi="Times New Roman"/>
                <w:sz w:val="21"/>
                <w:szCs w:val="21"/>
              </w:rPr>
              <w:t>COM</w:t>
            </w:r>
            <w:bookmarkStart w:id="0" w:name="_GoBack"/>
            <w:bookmarkEnd w:id="0"/>
          </w:p>
        </w:tc>
      </w:tr>
      <w:tr w:rsidR="00156BB8" w:rsidRPr="00457933" w:rsidTr="00294D0D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156BB8" w:rsidRPr="00457933" w:rsidTr="00294D0D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3B38" w:rsidRPr="00457933" w:rsidRDefault="00693B38" w:rsidP="00693B3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Conforme estabelecido no Regimento Interno do CAU/RS, as comissões temporárias têm duração de 06 meses, sendo necessária a apresentação de relatório conclusivo.</w:t>
            </w:r>
          </w:p>
          <w:p w:rsidR="00693B38" w:rsidRPr="00457933" w:rsidRDefault="00693B38" w:rsidP="00693B3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Com isso, a Comissão decide remarcar suas reuniões, agendando para o dia 26/06 uma reunião de dia inteiro.</w:t>
            </w:r>
          </w:p>
        </w:tc>
      </w:tr>
      <w:tr w:rsidR="00156BB8" w:rsidRPr="00457933" w:rsidTr="00294D0D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Agendar reunião no dia 26/06.</w:t>
            </w:r>
          </w:p>
        </w:tc>
      </w:tr>
      <w:tr w:rsidR="00156BB8" w:rsidRPr="00457933" w:rsidTr="00294D0D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693B3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Extra pauta</w:t>
            </w: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447ED1" w:rsidP="00447ED1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Não há itens extras a serem tratados.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447ED1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447ED1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447ED1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447ED1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BB8" w:rsidRPr="00457933" w:rsidRDefault="00447ED1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156BB8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156BB8" w:rsidRPr="00457933" w:rsidRDefault="00156BB8" w:rsidP="00156BB8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156BB8" w:rsidP="00156BB8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Definição da pauta da próxima reunião</w:t>
            </w:r>
          </w:p>
        </w:tc>
      </w:tr>
      <w:tr w:rsidR="00156BB8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6BB8" w:rsidRPr="00457933" w:rsidRDefault="00B941E0" w:rsidP="00156BB8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Verificação e discussão dos materiais produzidos e divulgados pela CTC-CAU/RS</w:t>
            </w:r>
          </w:p>
        </w:tc>
      </w:tr>
      <w:tr w:rsidR="00B941E0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B941E0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B941E0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Definição sobre o canal de comunicação das Comissões do CAU/RS com a CTC-CAU/RS</w:t>
            </w:r>
          </w:p>
        </w:tc>
      </w:tr>
      <w:tr w:rsidR="00B941E0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B941E0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B941E0" w:rsidRPr="00457933" w:rsidTr="00294D0D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Estabelecimento do protocolo e materiais para a representação nas formaturas</w:t>
            </w:r>
          </w:p>
        </w:tc>
      </w:tr>
      <w:tr w:rsidR="00B941E0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B941E0" w:rsidRPr="00457933" w:rsidTr="00294D0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41E0" w:rsidRPr="00457933" w:rsidRDefault="00B941E0" w:rsidP="00B941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457933">
              <w:rPr>
                <w:rFonts w:ascii="Times New Roman" w:eastAsia="MS Mincho" w:hAnsi="Times New Roman"/>
                <w:sz w:val="21"/>
                <w:szCs w:val="21"/>
              </w:rPr>
              <w:t>Deise Santos</w:t>
            </w:r>
          </w:p>
        </w:tc>
      </w:tr>
    </w:tbl>
    <w:p w:rsidR="00AF1451" w:rsidRPr="00457933" w:rsidRDefault="00AF1451" w:rsidP="00AF1451">
      <w:pPr>
        <w:rPr>
          <w:rFonts w:ascii="Times New Roman" w:eastAsia="MS Mincho" w:hAnsi="Times New Roman"/>
          <w:smallCaps/>
          <w:sz w:val="21"/>
          <w:szCs w:val="21"/>
        </w:rPr>
      </w:pPr>
    </w:p>
    <w:p w:rsidR="0069608F" w:rsidRPr="00457933" w:rsidRDefault="0069608F" w:rsidP="00AF1451">
      <w:pPr>
        <w:rPr>
          <w:rFonts w:ascii="Times New Roman" w:eastAsia="MS Mincho" w:hAnsi="Times New Roman"/>
          <w:smallCaps/>
          <w:sz w:val="21"/>
          <w:szCs w:val="21"/>
        </w:rPr>
      </w:pPr>
    </w:p>
    <w:tbl>
      <w:tblPr>
        <w:tblW w:w="907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64"/>
        <w:gridCol w:w="4607"/>
      </w:tblGrid>
      <w:tr w:rsidR="00AF1451" w:rsidRPr="00457933" w:rsidTr="001904CB">
        <w:trPr>
          <w:trHeight w:val="947"/>
        </w:trPr>
        <w:tc>
          <w:tcPr>
            <w:tcW w:w="4464" w:type="dxa"/>
            <w:shd w:val="clear" w:color="auto" w:fill="auto"/>
          </w:tcPr>
          <w:p w:rsidR="002F6B55" w:rsidRPr="00457933" w:rsidRDefault="002F6B55" w:rsidP="002F6B55">
            <w:pPr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</w:p>
          <w:p w:rsidR="008A63F2" w:rsidRPr="00457933" w:rsidRDefault="008A63F2" w:rsidP="008A63F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 xml:space="preserve">MATIAS REVELLO VAZQUEZ </w:t>
            </w:r>
          </w:p>
          <w:p w:rsidR="0040287F" w:rsidRPr="00457933" w:rsidRDefault="008A63F2" w:rsidP="00FA6CF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  <w:p w:rsidR="00AF1451" w:rsidRPr="00457933" w:rsidRDefault="00AF1451" w:rsidP="004028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8A63F2" w:rsidRPr="00457933" w:rsidRDefault="008A63F2" w:rsidP="008A63F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287F" w:rsidRPr="00457933" w:rsidRDefault="008A63F2" w:rsidP="008A63F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 xml:space="preserve">VINÍCIUS VIEIRA DE SOUZA </w:t>
            </w:r>
          </w:p>
          <w:p w:rsidR="00CD7AEE" w:rsidRPr="00457933" w:rsidRDefault="0040287F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C</w:t>
            </w:r>
            <w:r w:rsidR="008A63F2" w:rsidRPr="00457933">
              <w:rPr>
                <w:rFonts w:ascii="Times New Roman" w:hAnsi="Times New Roman"/>
                <w:sz w:val="21"/>
                <w:szCs w:val="21"/>
              </w:rPr>
              <w:t>oordenador-adjunto</w:t>
            </w:r>
          </w:p>
          <w:p w:rsidR="000E15F8" w:rsidRPr="00457933" w:rsidRDefault="000E15F8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40287F" w:rsidRPr="00457933" w:rsidTr="001904CB">
        <w:tc>
          <w:tcPr>
            <w:tcW w:w="4464" w:type="dxa"/>
            <w:shd w:val="clear" w:color="auto" w:fill="auto"/>
          </w:tcPr>
          <w:p w:rsidR="0040287F" w:rsidRPr="00457933" w:rsidRDefault="0040287F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287F" w:rsidRPr="00457933" w:rsidRDefault="0040287F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DEISE FLORES SANTOS</w:t>
            </w:r>
          </w:p>
          <w:p w:rsidR="0040287F" w:rsidRPr="00457933" w:rsidRDefault="0040287F" w:rsidP="0040287F">
            <w:pPr>
              <w:jc w:val="center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40287F" w:rsidRPr="00457933" w:rsidRDefault="0040287F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287F" w:rsidRPr="00457933" w:rsidRDefault="0040287F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LUCIANO ANTUNES</w:t>
            </w:r>
          </w:p>
          <w:p w:rsidR="0040287F" w:rsidRPr="00457933" w:rsidRDefault="0040287F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Assessoria | Gerente de Comunicação</w:t>
            </w:r>
          </w:p>
          <w:p w:rsidR="0040287F" w:rsidRPr="00457933" w:rsidRDefault="0040287F" w:rsidP="008A63F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F1451" w:rsidRPr="00457933" w:rsidTr="001904CB">
        <w:tc>
          <w:tcPr>
            <w:tcW w:w="4464" w:type="dxa"/>
            <w:shd w:val="clear" w:color="auto" w:fill="auto"/>
          </w:tcPr>
          <w:p w:rsidR="0069608F" w:rsidRPr="00457933" w:rsidRDefault="0069608F" w:rsidP="00CD7AE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F1451" w:rsidRPr="00457933" w:rsidRDefault="008A63F2" w:rsidP="00CD7AE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GELSON BENATTI</w:t>
            </w:r>
          </w:p>
          <w:p w:rsidR="008A63F2" w:rsidRPr="00457933" w:rsidRDefault="008A63F2" w:rsidP="00CD7A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Gerente de Planejamento</w:t>
            </w:r>
          </w:p>
        </w:tc>
        <w:tc>
          <w:tcPr>
            <w:tcW w:w="4607" w:type="dxa"/>
            <w:shd w:val="clear" w:color="auto" w:fill="auto"/>
          </w:tcPr>
          <w:p w:rsidR="0069608F" w:rsidRPr="00457933" w:rsidRDefault="0069608F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3E3ADB" w:rsidRPr="00457933" w:rsidRDefault="00CD7AEE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MARCELE ACOSTA</w:t>
            </w:r>
          </w:p>
          <w:p w:rsidR="00CD7AEE" w:rsidRPr="00457933" w:rsidRDefault="00CD7AEE" w:rsidP="00A51F0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Coordenadora da Unidade de Comunicação</w:t>
            </w:r>
          </w:p>
        </w:tc>
      </w:tr>
      <w:tr w:rsidR="000E15F8" w:rsidRPr="00457933" w:rsidTr="001904CB">
        <w:tc>
          <w:tcPr>
            <w:tcW w:w="4464" w:type="dxa"/>
            <w:shd w:val="clear" w:color="auto" w:fill="auto"/>
          </w:tcPr>
          <w:p w:rsidR="0040287F" w:rsidRPr="00457933" w:rsidRDefault="0040287F" w:rsidP="000E15F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287F" w:rsidRPr="00457933" w:rsidRDefault="0040287F" w:rsidP="000E15F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08F" w:rsidRPr="00457933" w:rsidRDefault="0069608F" w:rsidP="000E15F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0287F" w:rsidRPr="00457933" w:rsidRDefault="00195176" w:rsidP="0040287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7933">
              <w:rPr>
                <w:rFonts w:ascii="Times New Roman" w:hAnsi="Times New Roman"/>
                <w:b/>
                <w:sz w:val="21"/>
                <w:szCs w:val="21"/>
              </w:rPr>
              <w:t>CARLA LAGO</w:t>
            </w:r>
          </w:p>
          <w:p w:rsidR="00195176" w:rsidRPr="00457933" w:rsidRDefault="00195176" w:rsidP="0040287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57933">
              <w:rPr>
                <w:rFonts w:ascii="Times New Roman" w:hAnsi="Times New Roman"/>
                <w:sz w:val="21"/>
                <w:szCs w:val="21"/>
              </w:rPr>
              <w:t>Secretária Executiva</w:t>
            </w:r>
          </w:p>
          <w:p w:rsidR="00535951" w:rsidRPr="00457933" w:rsidRDefault="00535951" w:rsidP="0019517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574A32" w:rsidRPr="00457933" w:rsidRDefault="00574A32" w:rsidP="00574A3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574A32" w:rsidRPr="00457933" w:rsidRDefault="00574A32" w:rsidP="00574A3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574A32" w:rsidRPr="00457933" w:rsidRDefault="00574A32" w:rsidP="00574A3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E15F8" w:rsidRPr="00457933" w:rsidRDefault="000E15F8" w:rsidP="00195176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D422E" w:rsidRPr="00457933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sectPr w:rsidR="003D422E" w:rsidRPr="00457933" w:rsidSect="00402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7D1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40287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7D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724E"/>
    <w:multiLevelType w:val="hybridMultilevel"/>
    <w:tmpl w:val="921A69D0"/>
    <w:lvl w:ilvl="0" w:tplc="FC0CE1C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4798"/>
    <w:multiLevelType w:val="multilevel"/>
    <w:tmpl w:val="186A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3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058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04B2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958DA"/>
    <w:multiLevelType w:val="hybridMultilevel"/>
    <w:tmpl w:val="0E344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D15A5"/>
    <w:multiLevelType w:val="hybridMultilevel"/>
    <w:tmpl w:val="4FA874B6"/>
    <w:lvl w:ilvl="0" w:tplc="272AE88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54D8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62A6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37C0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4CDE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84B8B"/>
    <w:multiLevelType w:val="multilevel"/>
    <w:tmpl w:val="0B68E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MS Mincho" w:hint="default"/>
      </w:rPr>
    </w:lvl>
  </w:abstractNum>
  <w:abstractNum w:abstractNumId="21">
    <w:nsid w:val="42767D82"/>
    <w:multiLevelType w:val="multilevel"/>
    <w:tmpl w:val="7E7E4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MS Mincho" w:hint="default"/>
      </w:rPr>
    </w:lvl>
  </w:abstractNum>
  <w:abstractNum w:abstractNumId="2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E43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75550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E7B5A"/>
    <w:multiLevelType w:val="hybridMultilevel"/>
    <w:tmpl w:val="3022E738"/>
    <w:lvl w:ilvl="0" w:tplc="F8CC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A8E0E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B5C1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2429A"/>
    <w:multiLevelType w:val="hybridMultilevel"/>
    <w:tmpl w:val="2A16186E"/>
    <w:lvl w:ilvl="0" w:tplc="B674F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22"/>
  </w:num>
  <w:num w:numId="4">
    <w:abstractNumId w:val="18"/>
  </w:num>
  <w:num w:numId="5">
    <w:abstractNumId w:val="23"/>
  </w:num>
  <w:num w:numId="6">
    <w:abstractNumId w:val="40"/>
  </w:num>
  <w:num w:numId="7">
    <w:abstractNumId w:val="42"/>
  </w:num>
  <w:num w:numId="8">
    <w:abstractNumId w:val="29"/>
  </w:num>
  <w:num w:numId="9">
    <w:abstractNumId w:val="34"/>
  </w:num>
  <w:num w:numId="10">
    <w:abstractNumId w:val="19"/>
  </w:num>
  <w:num w:numId="11">
    <w:abstractNumId w:val="4"/>
  </w:num>
  <w:num w:numId="12">
    <w:abstractNumId w:val="28"/>
  </w:num>
  <w:num w:numId="13">
    <w:abstractNumId w:val="3"/>
  </w:num>
  <w:num w:numId="14">
    <w:abstractNumId w:val="38"/>
  </w:num>
  <w:num w:numId="15">
    <w:abstractNumId w:val="37"/>
  </w:num>
  <w:num w:numId="16">
    <w:abstractNumId w:val="16"/>
  </w:num>
  <w:num w:numId="17">
    <w:abstractNumId w:val="0"/>
  </w:num>
  <w:num w:numId="18">
    <w:abstractNumId w:val="26"/>
  </w:num>
  <w:num w:numId="19">
    <w:abstractNumId w:val="25"/>
  </w:num>
  <w:num w:numId="20">
    <w:abstractNumId w:val="24"/>
  </w:num>
  <w:num w:numId="21">
    <w:abstractNumId w:val="14"/>
  </w:num>
  <w:num w:numId="22">
    <w:abstractNumId w:val="17"/>
  </w:num>
  <w:num w:numId="23">
    <w:abstractNumId w:val="30"/>
  </w:num>
  <w:num w:numId="24">
    <w:abstractNumId w:val="21"/>
  </w:num>
  <w:num w:numId="25">
    <w:abstractNumId w:val="36"/>
  </w:num>
  <w:num w:numId="26">
    <w:abstractNumId w:val="12"/>
  </w:num>
  <w:num w:numId="27">
    <w:abstractNumId w:val="5"/>
  </w:num>
  <w:num w:numId="28">
    <w:abstractNumId w:val="41"/>
  </w:num>
  <w:num w:numId="29">
    <w:abstractNumId w:val="33"/>
  </w:num>
  <w:num w:numId="30">
    <w:abstractNumId w:val="11"/>
  </w:num>
  <w:num w:numId="31">
    <w:abstractNumId w:val="32"/>
  </w:num>
  <w:num w:numId="32">
    <w:abstractNumId w:val="27"/>
  </w:num>
  <w:num w:numId="33">
    <w:abstractNumId w:val="35"/>
  </w:num>
  <w:num w:numId="34">
    <w:abstractNumId w:val="15"/>
  </w:num>
  <w:num w:numId="35">
    <w:abstractNumId w:val="10"/>
  </w:num>
  <w:num w:numId="36">
    <w:abstractNumId w:val="6"/>
  </w:num>
  <w:num w:numId="37">
    <w:abstractNumId w:val="9"/>
  </w:num>
  <w:num w:numId="38">
    <w:abstractNumId w:val="20"/>
  </w:num>
  <w:num w:numId="39">
    <w:abstractNumId w:val="7"/>
  </w:num>
  <w:num w:numId="40">
    <w:abstractNumId w:val="2"/>
  </w:num>
  <w:num w:numId="41">
    <w:abstractNumId w:val="1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36C"/>
    <w:rsid w:val="000145F6"/>
    <w:rsid w:val="0002261C"/>
    <w:rsid w:val="000357BD"/>
    <w:rsid w:val="00040A86"/>
    <w:rsid w:val="00040E98"/>
    <w:rsid w:val="000425B3"/>
    <w:rsid w:val="000527E4"/>
    <w:rsid w:val="00054CE2"/>
    <w:rsid w:val="00057A6F"/>
    <w:rsid w:val="000605F6"/>
    <w:rsid w:val="00062599"/>
    <w:rsid w:val="00065201"/>
    <w:rsid w:val="00067264"/>
    <w:rsid w:val="00094C82"/>
    <w:rsid w:val="00094D18"/>
    <w:rsid w:val="000C029E"/>
    <w:rsid w:val="000C1A24"/>
    <w:rsid w:val="000C3500"/>
    <w:rsid w:val="000D309E"/>
    <w:rsid w:val="000D3E3E"/>
    <w:rsid w:val="000D3EFC"/>
    <w:rsid w:val="000D4BEC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1E"/>
    <w:rsid w:val="00117EDD"/>
    <w:rsid w:val="00124A49"/>
    <w:rsid w:val="00133AD2"/>
    <w:rsid w:val="00141BFB"/>
    <w:rsid w:val="00156BB8"/>
    <w:rsid w:val="00166985"/>
    <w:rsid w:val="00170CA0"/>
    <w:rsid w:val="00174A5A"/>
    <w:rsid w:val="001778C5"/>
    <w:rsid w:val="00180FB9"/>
    <w:rsid w:val="00183C40"/>
    <w:rsid w:val="001904CB"/>
    <w:rsid w:val="00190F83"/>
    <w:rsid w:val="00195176"/>
    <w:rsid w:val="001979E1"/>
    <w:rsid w:val="001B01D5"/>
    <w:rsid w:val="001B5148"/>
    <w:rsid w:val="001B5F62"/>
    <w:rsid w:val="001D1E87"/>
    <w:rsid w:val="001D7820"/>
    <w:rsid w:val="001E56D2"/>
    <w:rsid w:val="001F61E5"/>
    <w:rsid w:val="00220A16"/>
    <w:rsid w:val="00222670"/>
    <w:rsid w:val="00224FC6"/>
    <w:rsid w:val="002337E3"/>
    <w:rsid w:val="00240EB3"/>
    <w:rsid w:val="00241D2A"/>
    <w:rsid w:val="00243ACB"/>
    <w:rsid w:val="0025209C"/>
    <w:rsid w:val="0025277E"/>
    <w:rsid w:val="00253AD8"/>
    <w:rsid w:val="002550D4"/>
    <w:rsid w:val="00260407"/>
    <w:rsid w:val="00270EC7"/>
    <w:rsid w:val="00274C1F"/>
    <w:rsid w:val="00280F33"/>
    <w:rsid w:val="0028192B"/>
    <w:rsid w:val="00285A83"/>
    <w:rsid w:val="002923F2"/>
    <w:rsid w:val="00294D0D"/>
    <w:rsid w:val="00295D2A"/>
    <w:rsid w:val="00295FD5"/>
    <w:rsid w:val="002974CF"/>
    <w:rsid w:val="002A7C5E"/>
    <w:rsid w:val="002B0BD3"/>
    <w:rsid w:val="002B140A"/>
    <w:rsid w:val="002B1D54"/>
    <w:rsid w:val="002B6B5D"/>
    <w:rsid w:val="002D4361"/>
    <w:rsid w:val="002D54CA"/>
    <w:rsid w:val="002D56DB"/>
    <w:rsid w:val="002E293E"/>
    <w:rsid w:val="002F0A6F"/>
    <w:rsid w:val="002F2AD1"/>
    <w:rsid w:val="002F43D7"/>
    <w:rsid w:val="002F6B55"/>
    <w:rsid w:val="00301691"/>
    <w:rsid w:val="0030273D"/>
    <w:rsid w:val="00305DCB"/>
    <w:rsid w:val="00306127"/>
    <w:rsid w:val="00311134"/>
    <w:rsid w:val="00320980"/>
    <w:rsid w:val="0032749C"/>
    <w:rsid w:val="003278C3"/>
    <w:rsid w:val="00340F0F"/>
    <w:rsid w:val="003411BA"/>
    <w:rsid w:val="00347324"/>
    <w:rsid w:val="003557D1"/>
    <w:rsid w:val="00360A08"/>
    <w:rsid w:val="00367DAC"/>
    <w:rsid w:val="003728CA"/>
    <w:rsid w:val="00382B65"/>
    <w:rsid w:val="00383F38"/>
    <w:rsid w:val="00385AD3"/>
    <w:rsid w:val="003945A8"/>
    <w:rsid w:val="0039686B"/>
    <w:rsid w:val="00396D9D"/>
    <w:rsid w:val="00397661"/>
    <w:rsid w:val="003A699B"/>
    <w:rsid w:val="003B4E9A"/>
    <w:rsid w:val="003B6D0B"/>
    <w:rsid w:val="003C3C3A"/>
    <w:rsid w:val="003C484E"/>
    <w:rsid w:val="003C5129"/>
    <w:rsid w:val="003C62FC"/>
    <w:rsid w:val="003D422E"/>
    <w:rsid w:val="003E3ADB"/>
    <w:rsid w:val="003E508E"/>
    <w:rsid w:val="003F1946"/>
    <w:rsid w:val="003F5088"/>
    <w:rsid w:val="0040287F"/>
    <w:rsid w:val="00410566"/>
    <w:rsid w:val="004110C9"/>
    <w:rsid w:val="004123FC"/>
    <w:rsid w:val="00413294"/>
    <w:rsid w:val="0042003A"/>
    <w:rsid w:val="004303BE"/>
    <w:rsid w:val="00432411"/>
    <w:rsid w:val="00433DE0"/>
    <w:rsid w:val="004355BD"/>
    <w:rsid w:val="00440E3B"/>
    <w:rsid w:val="00447C6C"/>
    <w:rsid w:val="00447ED1"/>
    <w:rsid w:val="0045221B"/>
    <w:rsid w:val="00453128"/>
    <w:rsid w:val="00457933"/>
    <w:rsid w:val="00471056"/>
    <w:rsid w:val="00483414"/>
    <w:rsid w:val="00483503"/>
    <w:rsid w:val="004A00B5"/>
    <w:rsid w:val="004B3023"/>
    <w:rsid w:val="004B5A5C"/>
    <w:rsid w:val="004C3048"/>
    <w:rsid w:val="004D4E5C"/>
    <w:rsid w:val="004D75DA"/>
    <w:rsid w:val="004E062B"/>
    <w:rsid w:val="004E4970"/>
    <w:rsid w:val="004F15C8"/>
    <w:rsid w:val="005224C1"/>
    <w:rsid w:val="005259FF"/>
    <w:rsid w:val="00530EF9"/>
    <w:rsid w:val="0053240A"/>
    <w:rsid w:val="00535951"/>
    <w:rsid w:val="005426F4"/>
    <w:rsid w:val="005461A2"/>
    <w:rsid w:val="00551153"/>
    <w:rsid w:val="005615DC"/>
    <w:rsid w:val="00563707"/>
    <w:rsid w:val="00564054"/>
    <w:rsid w:val="0056481D"/>
    <w:rsid w:val="00565889"/>
    <w:rsid w:val="00571B3A"/>
    <w:rsid w:val="00574A32"/>
    <w:rsid w:val="005A2C3F"/>
    <w:rsid w:val="005A4F51"/>
    <w:rsid w:val="005B06FE"/>
    <w:rsid w:val="005B4B10"/>
    <w:rsid w:val="005C67F5"/>
    <w:rsid w:val="005D2720"/>
    <w:rsid w:val="005D2FBE"/>
    <w:rsid w:val="005D3D88"/>
    <w:rsid w:val="005E2D9F"/>
    <w:rsid w:val="005E66BC"/>
    <w:rsid w:val="005F0BE0"/>
    <w:rsid w:val="005F47CB"/>
    <w:rsid w:val="005F4CA7"/>
    <w:rsid w:val="005F6D57"/>
    <w:rsid w:val="00601740"/>
    <w:rsid w:val="00601FB6"/>
    <w:rsid w:val="006036E1"/>
    <w:rsid w:val="0060634C"/>
    <w:rsid w:val="00612237"/>
    <w:rsid w:val="006130EF"/>
    <w:rsid w:val="00614679"/>
    <w:rsid w:val="00620E0A"/>
    <w:rsid w:val="006326C4"/>
    <w:rsid w:val="00633BEB"/>
    <w:rsid w:val="006340C8"/>
    <w:rsid w:val="00637577"/>
    <w:rsid w:val="00661135"/>
    <w:rsid w:val="00662475"/>
    <w:rsid w:val="00665AB1"/>
    <w:rsid w:val="0066674D"/>
    <w:rsid w:val="00680687"/>
    <w:rsid w:val="006819ED"/>
    <w:rsid w:val="00681FC3"/>
    <w:rsid w:val="006838C7"/>
    <w:rsid w:val="006879D6"/>
    <w:rsid w:val="00690C35"/>
    <w:rsid w:val="0069229F"/>
    <w:rsid w:val="00693B38"/>
    <w:rsid w:val="0069608F"/>
    <w:rsid w:val="006B670F"/>
    <w:rsid w:val="006C62E4"/>
    <w:rsid w:val="006C75E7"/>
    <w:rsid w:val="006D2981"/>
    <w:rsid w:val="006D6A92"/>
    <w:rsid w:val="006F139F"/>
    <w:rsid w:val="006F4E9B"/>
    <w:rsid w:val="006F6327"/>
    <w:rsid w:val="00731BBD"/>
    <w:rsid w:val="007375FB"/>
    <w:rsid w:val="00740E14"/>
    <w:rsid w:val="0074200D"/>
    <w:rsid w:val="00750F6C"/>
    <w:rsid w:val="0075194D"/>
    <w:rsid w:val="0076286B"/>
    <w:rsid w:val="007735AD"/>
    <w:rsid w:val="00776B7B"/>
    <w:rsid w:val="00781DF5"/>
    <w:rsid w:val="00797473"/>
    <w:rsid w:val="007A3A4F"/>
    <w:rsid w:val="007B7B0D"/>
    <w:rsid w:val="007B7BB9"/>
    <w:rsid w:val="007C0FB9"/>
    <w:rsid w:val="007C50BE"/>
    <w:rsid w:val="007F068A"/>
    <w:rsid w:val="00805FC1"/>
    <w:rsid w:val="00810D6E"/>
    <w:rsid w:val="0081283D"/>
    <w:rsid w:val="00834DF7"/>
    <w:rsid w:val="00835A60"/>
    <w:rsid w:val="00835E1C"/>
    <w:rsid w:val="00840D65"/>
    <w:rsid w:val="008422C2"/>
    <w:rsid w:val="008451B4"/>
    <w:rsid w:val="00845205"/>
    <w:rsid w:val="00847568"/>
    <w:rsid w:val="00853C78"/>
    <w:rsid w:val="00854690"/>
    <w:rsid w:val="00854C77"/>
    <w:rsid w:val="00855321"/>
    <w:rsid w:val="00855F16"/>
    <w:rsid w:val="0086709B"/>
    <w:rsid w:val="00874A65"/>
    <w:rsid w:val="00883A11"/>
    <w:rsid w:val="00890C7F"/>
    <w:rsid w:val="008A2EE4"/>
    <w:rsid w:val="008A361D"/>
    <w:rsid w:val="008A63F2"/>
    <w:rsid w:val="008A75B2"/>
    <w:rsid w:val="008B2825"/>
    <w:rsid w:val="008B60F1"/>
    <w:rsid w:val="008D35DE"/>
    <w:rsid w:val="008D4752"/>
    <w:rsid w:val="008E1728"/>
    <w:rsid w:val="008F159C"/>
    <w:rsid w:val="008F3E5A"/>
    <w:rsid w:val="0090492E"/>
    <w:rsid w:val="00907AB7"/>
    <w:rsid w:val="009269BD"/>
    <w:rsid w:val="00930D3C"/>
    <w:rsid w:val="0093154B"/>
    <w:rsid w:val="009347B2"/>
    <w:rsid w:val="0094772A"/>
    <w:rsid w:val="00950208"/>
    <w:rsid w:val="00957888"/>
    <w:rsid w:val="009643CB"/>
    <w:rsid w:val="009700BA"/>
    <w:rsid w:val="00974359"/>
    <w:rsid w:val="009B40C9"/>
    <w:rsid w:val="009B4C5E"/>
    <w:rsid w:val="009B5DB8"/>
    <w:rsid w:val="009C581F"/>
    <w:rsid w:val="009D0886"/>
    <w:rsid w:val="009E3C4D"/>
    <w:rsid w:val="00A050DB"/>
    <w:rsid w:val="00A2484F"/>
    <w:rsid w:val="00A40ECC"/>
    <w:rsid w:val="00A43C37"/>
    <w:rsid w:val="00A47C9C"/>
    <w:rsid w:val="00A51F0A"/>
    <w:rsid w:val="00A5515C"/>
    <w:rsid w:val="00A55C5A"/>
    <w:rsid w:val="00A565FE"/>
    <w:rsid w:val="00A570C2"/>
    <w:rsid w:val="00A61F2A"/>
    <w:rsid w:val="00A62383"/>
    <w:rsid w:val="00A64073"/>
    <w:rsid w:val="00A80C65"/>
    <w:rsid w:val="00A83107"/>
    <w:rsid w:val="00A91182"/>
    <w:rsid w:val="00A949CC"/>
    <w:rsid w:val="00A94C9E"/>
    <w:rsid w:val="00AD6525"/>
    <w:rsid w:val="00AE04F5"/>
    <w:rsid w:val="00AE207B"/>
    <w:rsid w:val="00AE2654"/>
    <w:rsid w:val="00AF1451"/>
    <w:rsid w:val="00AF368E"/>
    <w:rsid w:val="00B00D2D"/>
    <w:rsid w:val="00B129F6"/>
    <w:rsid w:val="00B138A5"/>
    <w:rsid w:val="00B15D4F"/>
    <w:rsid w:val="00B17A88"/>
    <w:rsid w:val="00B20997"/>
    <w:rsid w:val="00B23E93"/>
    <w:rsid w:val="00B309B7"/>
    <w:rsid w:val="00B31650"/>
    <w:rsid w:val="00B3272B"/>
    <w:rsid w:val="00B37B9F"/>
    <w:rsid w:val="00B478AD"/>
    <w:rsid w:val="00B6066A"/>
    <w:rsid w:val="00B63C2E"/>
    <w:rsid w:val="00B63F94"/>
    <w:rsid w:val="00B6624C"/>
    <w:rsid w:val="00B70211"/>
    <w:rsid w:val="00B73A02"/>
    <w:rsid w:val="00B81197"/>
    <w:rsid w:val="00B86996"/>
    <w:rsid w:val="00B941E0"/>
    <w:rsid w:val="00BA48DB"/>
    <w:rsid w:val="00BB5878"/>
    <w:rsid w:val="00BB5E13"/>
    <w:rsid w:val="00BB6C86"/>
    <w:rsid w:val="00BC73B6"/>
    <w:rsid w:val="00BF48BD"/>
    <w:rsid w:val="00C006ED"/>
    <w:rsid w:val="00C01295"/>
    <w:rsid w:val="00C038EA"/>
    <w:rsid w:val="00C15B9D"/>
    <w:rsid w:val="00C301CA"/>
    <w:rsid w:val="00C3665F"/>
    <w:rsid w:val="00C37B13"/>
    <w:rsid w:val="00C40CF4"/>
    <w:rsid w:val="00C42605"/>
    <w:rsid w:val="00C45812"/>
    <w:rsid w:val="00C5245C"/>
    <w:rsid w:val="00C646F3"/>
    <w:rsid w:val="00C65EAF"/>
    <w:rsid w:val="00C72981"/>
    <w:rsid w:val="00C72C38"/>
    <w:rsid w:val="00C86244"/>
    <w:rsid w:val="00CA172C"/>
    <w:rsid w:val="00CB1E78"/>
    <w:rsid w:val="00CC43DF"/>
    <w:rsid w:val="00CC5EB2"/>
    <w:rsid w:val="00CD0E69"/>
    <w:rsid w:val="00CD7AEE"/>
    <w:rsid w:val="00CE31BA"/>
    <w:rsid w:val="00CE4E08"/>
    <w:rsid w:val="00CF2FBA"/>
    <w:rsid w:val="00D0391E"/>
    <w:rsid w:val="00D213CD"/>
    <w:rsid w:val="00D21C2C"/>
    <w:rsid w:val="00D24E51"/>
    <w:rsid w:val="00D32E81"/>
    <w:rsid w:val="00D372D8"/>
    <w:rsid w:val="00D43467"/>
    <w:rsid w:val="00D46901"/>
    <w:rsid w:val="00D50715"/>
    <w:rsid w:val="00D51E72"/>
    <w:rsid w:val="00D5644F"/>
    <w:rsid w:val="00D57D60"/>
    <w:rsid w:val="00D62C61"/>
    <w:rsid w:val="00D67B4E"/>
    <w:rsid w:val="00D802D9"/>
    <w:rsid w:val="00D817DE"/>
    <w:rsid w:val="00D8349F"/>
    <w:rsid w:val="00D84C30"/>
    <w:rsid w:val="00D94896"/>
    <w:rsid w:val="00D9535A"/>
    <w:rsid w:val="00D95F39"/>
    <w:rsid w:val="00D9656B"/>
    <w:rsid w:val="00DA03D6"/>
    <w:rsid w:val="00DA4C7D"/>
    <w:rsid w:val="00DB06B6"/>
    <w:rsid w:val="00DB101D"/>
    <w:rsid w:val="00DB4045"/>
    <w:rsid w:val="00DC7CFB"/>
    <w:rsid w:val="00DD09A6"/>
    <w:rsid w:val="00DD16FB"/>
    <w:rsid w:val="00DD7D19"/>
    <w:rsid w:val="00DE5541"/>
    <w:rsid w:val="00DE67B2"/>
    <w:rsid w:val="00DF2B5B"/>
    <w:rsid w:val="00DF6CF3"/>
    <w:rsid w:val="00E00DCA"/>
    <w:rsid w:val="00E0487E"/>
    <w:rsid w:val="00E077A1"/>
    <w:rsid w:val="00E12EC2"/>
    <w:rsid w:val="00E21CEF"/>
    <w:rsid w:val="00E22ADE"/>
    <w:rsid w:val="00E22AF6"/>
    <w:rsid w:val="00E31CC4"/>
    <w:rsid w:val="00E3663E"/>
    <w:rsid w:val="00E408E2"/>
    <w:rsid w:val="00E433C6"/>
    <w:rsid w:val="00E47A74"/>
    <w:rsid w:val="00E635C2"/>
    <w:rsid w:val="00E662FF"/>
    <w:rsid w:val="00E663BC"/>
    <w:rsid w:val="00E66543"/>
    <w:rsid w:val="00E85978"/>
    <w:rsid w:val="00E87EAC"/>
    <w:rsid w:val="00E9324D"/>
    <w:rsid w:val="00E97AC1"/>
    <w:rsid w:val="00EA593B"/>
    <w:rsid w:val="00EB1D18"/>
    <w:rsid w:val="00EB4AC7"/>
    <w:rsid w:val="00EC1859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1A39"/>
    <w:rsid w:val="00F62212"/>
    <w:rsid w:val="00F90175"/>
    <w:rsid w:val="00FA492F"/>
    <w:rsid w:val="00FB372F"/>
    <w:rsid w:val="00FC0735"/>
    <w:rsid w:val="00FC6A2F"/>
    <w:rsid w:val="00FC73FB"/>
    <w:rsid w:val="00FD34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5555-1E48-4E13-A02B-6CF04991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3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41</cp:revision>
  <cp:lastPrinted>2016-09-05T13:56:00Z</cp:lastPrinted>
  <dcterms:created xsi:type="dcterms:W3CDTF">2018-05-02T20:46:00Z</dcterms:created>
  <dcterms:modified xsi:type="dcterms:W3CDTF">2018-07-17T12:05:00Z</dcterms:modified>
</cp:coreProperties>
</file>