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6E4752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230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6E4752" w:rsidP="00E610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 de</w:t>
            </w:r>
            <w:r w:rsidR="007835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agosto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8C5CDC" w:rsidRDefault="008C5CDC" w:rsidP="00420A9C">
            <w:pPr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Remota, realizada no aplicativo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326BE" w:rsidRPr="00DF1176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F260F" w:rsidRDefault="00FF260F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F26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Andréa Larruscahim Hamilton Ilha </w:t>
            </w:r>
            <w:r w:rsidR="00F326BE" w:rsidRPr="00FF26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Default="00FF260F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</w:t>
            </w:r>
            <w:r w:rsid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residente do CAU/RS</w:t>
            </w:r>
          </w:p>
        </w:tc>
      </w:tr>
      <w:tr w:rsidR="00F326BE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F260F" w:rsidRDefault="00FF260F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F26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Adjunto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COA-CAU/RS</w:t>
            </w:r>
          </w:p>
        </w:tc>
      </w:tr>
      <w:tr w:rsidR="00F326BE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326BE" w:rsidRPr="00DF1176" w:rsidRDefault="00F326BE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326BE" w:rsidRPr="00FF260F" w:rsidRDefault="00D50E33" w:rsidP="00DC0A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F26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326BE" w:rsidRPr="000C7A3A" w:rsidRDefault="00D50E33" w:rsidP="00DC0AA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r 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CEP-CAU/RS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Pr="000C7A3A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Pr="000C7A3A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Pr="000C7A3A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8C5CDC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Pr="000C7A3A" w:rsidRDefault="008C5CDC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Pr="00DF1176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FF260F" w:rsidRPr="00DF1176" w:rsidRDefault="00FF260F" w:rsidP="00FF260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</w:t>
            </w: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F260F" w:rsidRPr="009A4F9A" w:rsidRDefault="00FF260F" w:rsidP="00FF260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F326BE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Default="00FF260F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de Secretaria</w:t>
            </w:r>
          </w:p>
        </w:tc>
      </w:tr>
      <w:tr w:rsidR="00FF260F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FF260F" w:rsidRDefault="00FF260F" w:rsidP="00FF260F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FF260F" w:rsidRPr="00C37134" w:rsidRDefault="008C5CDC" w:rsidP="00FF260F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Alexandre Noal dos Santos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FF260F" w:rsidRDefault="00FF260F" w:rsidP="008C5CD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Gerente </w:t>
            </w:r>
            <w:r w:rsidR="008C5CD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Jurídico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041CA2" w:rsidRDefault="00CE1E4A" w:rsidP="00D50E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F1451" w:rsidRPr="00DF1176" w:rsidRDefault="00DC0AA3" w:rsidP="003321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registrada a ausência justificada </w:t>
            </w:r>
            <w:r w:rsidR="00157166">
              <w:rPr>
                <w:rFonts w:asciiTheme="minorHAnsi" w:hAnsiTheme="minorHAnsi" w:cstheme="minorHAnsi"/>
                <w:sz w:val="22"/>
                <w:szCs w:val="22"/>
              </w:rPr>
              <w:t>da coordenadora da C</w:t>
            </w:r>
            <w:r w:rsidR="003321B5">
              <w:rPr>
                <w:rFonts w:asciiTheme="minorHAnsi" w:hAnsiTheme="minorHAnsi" w:cstheme="minorHAnsi"/>
                <w:sz w:val="22"/>
                <w:szCs w:val="22"/>
              </w:rPr>
              <w:t>OA</w:t>
            </w:r>
            <w:r w:rsidR="00157166">
              <w:rPr>
                <w:rFonts w:asciiTheme="minorHAnsi" w:hAnsiTheme="minorHAnsi" w:cstheme="minorHAnsi"/>
                <w:sz w:val="22"/>
                <w:szCs w:val="22"/>
              </w:rPr>
              <w:t xml:space="preserve">-CAU/RS, respectivamente, </w:t>
            </w:r>
            <w:r w:rsidR="00D50E33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3321B5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  <w:r w:rsidR="00CF000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3321B5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3321B5">
              <w:rPr>
                <w:rFonts w:asciiTheme="minorHAnsi" w:hAnsiTheme="minorHAnsi" w:cstheme="minorHAnsi"/>
                <w:b/>
                <w:sz w:val="22"/>
                <w:szCs w:val="22"/>
              </w:rPr>
              <w:t>última reunião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18513F" w:rsidRDefault="00222A06" w:rsidP="006E47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A súmula da 22</w:t>
            </w:r>
            <w:r w:rsidR="006E4752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FF1534"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 é aprovada por unanimidade</w:t>
            </w:r>
            <w:r w:rsidR="006E4752">
              <w:rPr>
                <w:rFonts w:asciiTheme="minorHAnsi" w:eastAsia="MS Mincho" w:hAnsiTheme="minorHAnsi" w:cstheme="minorHAnsi"/>
                <w:sz w:val="22"/>
                <w:szCs w:val="22"/>
              </w:rPr>
              <w:t>, com abstenção do conselheiro</w:t>
            </w:r>
            <w:r w:rsidR="003814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E4752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  <w:r w:rsidR="00FF1534"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1851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474F77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24ADA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64716E" w:rsidP="006471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pauta é acrescida do item 4.7 </w:t>
            </w:r>
            <w:r w:rsidRPr="0064716E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64716E">
              <w:rPr>
                <w:rFonts w:ascii="Calibri" w:hAnsi="Calibri" w:cs="Calibri"/>
                <w:sz w:val="22"/>
                <w:szCs w:val="22"/>
              </w:rPr>
              <w:t>Informes relativos às ações contra o EAD”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F73E9A" w:rsidRDefault="0017450D" w:rsidP="003F32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Nota Técnica Concursos Públicos para Contratação de Projetos</w:t>
            </w:r>
          </w:p>
        </w:tc>
      </w:tr>
      <w:tr w:rsidR="00021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21D8D" w:rsidRPr="00DF1176" w:rsidRDefault="00021D8D" w:rsidP="00021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:rsidR="00021D8D" w:rsidRDefault="00021D8D" w:rsidP="00021D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Geral </w:t>
            </w:r>
          </w:p>
        </w:tc>
      </w:tr>
      <w:tr w:rsidR="00021D8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021D8D" w:rsidRPr="00DF1176" w:rsidRDefault="00021D8D" w:rsidP="00021D8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E55605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vAlign w:val="center"/>
          </w:tcPr>
          <w:p w:rsidR="00021D8D" w:rsidRDefault="00021D8D" w:rsidP="00021D8D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Andrea Ilha / Tales Völker</w:t>
            </w:r>
            <w:r w:rsidR="003818FE">
              <w:rPr>
                <w:rFonts w:ascii="Calibri" w:hAnsi="Calibri" w:cs="Calibri"/>
                <w:sz w:val="22"/>
                <w:szCs w:val="22"/>
              </w:rPr>
              <w:t xml:space="preserve"> / Alexandre Noal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021D8D" w:rsidRDefault="0017450D" w:rsidP="00DC48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Völker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relata o histórico do assunto, que culminou na elaboração </w:t>
            </w:r>
            <w:r w:rsidR="00F319C6">
              <w:rPr>
                <w:rFonts w:asciiTheme="minorHAnsi" w:hAnsiTheme="minorHAnsi" w:cstheme="minorHAnsi"/>
                <w:sz w:val="22"/>
                <w:szCs w:val="22"/>
              </w:rPr>
              <w:t>do documento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319C6">
              <w:rPr>
                <w:rFonts w:asciiTheme="minorHAnsi" w:hAnsiTheme="minorHAnsi" w:cstheme="minorHAnsi"/>
                <w:sz w:val="22"/>
                <w:szCs w:val="22"/>
              </w:rPr>
              <w:t xml:space="preserve"> O gerente Alexandre 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Noal </w:t>
            </w:r>
            <w:r w:rsidR="00F319C6">
              <w:rPr>
                <w:rFonts w:asciiTheme="minorHAnsi" w:hAnsiTheme="minorHAnsi" w:cstheme="minorHAnsi"/>
                <w:sz w:val="22"/>
                <w:szCs w:val="22"/>
              </w:rPr>
              <w:t>apresenta a Nota Técnica 001/2022.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>vice-presidente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 Andréa I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lha ressalta que 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contratação de projetos por concursos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 é uma 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questão pela qual o Conselho vem brigando bastante. 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Carlos</w:t>
            </w:r>
            <w:r w:rsidR="003818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21D8D">
              <w:rPr>
                <w:rFonts w:asciiTheme="minorHAnsi" w:hAnsiTheme="minorHAnsi" w:cstheme="minorHAnsi"/>
                <w:sz w:val="22"/>
                <w:szCs w:val="22"/>
              </w:rPr>
              <w:t>Pedone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parabeniza a construção do documento e</w:t>
            </w:r>
            <w:r w:rsidR="00021D8D">
              <w:rPr>
                <w:rFonts w:asciiTheme="minorHAnsi" w:hAnsiTheme="minorHAnsi" w:cstheme="minorHAnsi"/>
                <w:sz w:val="22"/>
                <w:szCs w:val="22"/>
              </w:rPr>
              <w:t xml:space="preserve"> questiona como ocorrerá a divulgação. O gerente Tales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Völker</w:t>
            </w:r>
            <w:r w:rsidR="00021D8D">
              <w:rPr>
                <w:rFonts w:asciiTheme="minorHAnsi" w:hAnsiTheme="minorHAnsi" w:cstheme="minorHAnsi"/>
                <w:sz w:val="22"/>
                <w:szCs w:val="22"/>
              </w:rPr>
              <w:t xml:space="preserve"> fala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sobre as ações a serem realizadas, nos moldes de ocasiões anteriores, e que o Gabinete da Presidência está encaminhando essa questão</w:t>
            </w:r>
            <w:r w:rsidR="00021D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O conselheiro Carlos </w:t>
            </w:r>
            <w:r w:rsidR="00FC21B4">
              <w:rPr>
                <w:rFonts w:asciiTheme="minorHAnsi" w:hAnsiTheme="minorHAnsi" w:cstheme="minorHAnsi"/>
                <w:sz w:val="22"/>
                <w:szCs w:val="22"/>
              </w:rPr>
              <w:t>Pedone fala sobre a proposta de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fomentar a criação de departamentos de concursos dentro das centrais de licitações</w:t>
            </w:r>
            <w:r w:rsidR="00FC21B4">
              <w:rPr>
                <w:rFonts w:asciiTheme="minorHAnsi" w:hAnsiTheme="minorHAnsi" w:cstheme="minorHAnsi"/>
                <w:sz w:val="22"/>
                <w:szCs w:val="22"/>
              </w:rPr>
              <w:t xml:space="preserve"> nas prefeituras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>, como acontece na França</w:t>
            </w:r>
            <w:r w:rsidR="00FC21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1923BB" w:rsidRPr="00273BC7" w:rsidRDefault="005B10C7" w:rsidP="00531A5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Aprovado</w:t>
            </w:r>
            <w:r w:rsidR="00D7587E">
              <w:rPr>
                <w:rFonts w:asciiTheme="minorHAnsi" w:hAnsiTheme="minorHAnsi" w:cstheme="minorHAnsi"/>
                <w:sz w:val="22"/>
                <w:szCs w:val="22"/>
              </w:rPr>
              <w:t xml:space="preserve"> o encaminhamento da Nota</w:t>
            </w:r>
            <w:r w:rsidR="00027B09">
              <w:rPr>
                <w:rFonts w:asciiTheme="minorHAnsi" w:hAnsiTheme="minorHAnsi" w:cstheme="minorHAnsi"/>
                <w:sz w:val="22"/>
                <w:szCs w:val="22"/>
              </w:rPr>
              <w:t xml:space="preserve"> Técnica</w:t>
            </w:r>
            <w:r w:rsidR="00D7587E">
              <w:rPr>
                <w:rFonts w:asciiTheme="minorHAnsi" w:hAnsiTheme="minorHAnsi" w:cstheme="minorHAnsi"/>
                <w:sz w:val="22"/>
                <w:szCs w:val="22"/>
              </w:rPr>
              <w:t xml:space="preserve"> para homologação pelo Plenário.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57232" w:rsidRPr="00F73E9A" w:rsidRDefault="00857232" w:rsidP="008572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57232" w:rsidRPr="00C94BB0" w:rsidRDefault="00E5560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Informe Editais CAU/RS 2022</w:t>
            </w:r>
          </w:p>
        </w:tc>
      </w:tr>
      <w:tr w:rsidR="00E5560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5605" w:rsidRPr="00DF1176" w:rsidRDefault="00E55605" w:rsidP="00E556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55605" w:rsidRDefault="00E55605" w:rsidP="00E556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Gerência Geral </w:t>
            </w:r>
          </w:p>
        </w:tc>
      </w:tr>
      <w:tr w:rsidR="00E5560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5605" w:rsidRPr="00DF1176" w:rsidRDefault="00E55605" w:rsidP="00E556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55605" w:rsidRDefault="00E55605" w:rsidP="00E556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Andrea Ilha / Tales Völker</w:t>
            </w:r>
          </w:p>
        </w:tc>
      </w:tr>
      <w:tr w:rsidR="00857232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866515" w:rsidRDefault="004F28E5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4B0912" w:rsidRDefault="00E55605" w:rsidP="001D0D0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4007D7">
              <w:rPr>
                <w:rFonts w:ascii="Calibri" w:hAnsi="Calibri" w:cs="Calibri"/>
                <w:sz w:val="22"/>
                <w:szCs w:val="22"/>
              </w:rPr>
              <w:t>Völker</w:t>
            </w:r>
            <w:r w:rsidR="004007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reitera a baixa procura pelos editais nas modalidade</w:t>
            </w:r>
            <w:r w:rsidR="004007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patrocínio e apoio. Informa sobre o resultado da seleção do edital de pesquisas acadêmicas</w:t>
            </w:r>
            <w:r w:rsidR="00022421">
              <w:rPr>
                <w:rFonts w:asciiTheme="minorHAnsi" w:hAnsiTheme="minorHAnsi" w:cstheme="minorHAnsi"/>
                <w:sz w:val="22"/>
                <w:szCs w:val="22"/>
              </w:rPr>
              <w:t xml:space="preserve">, destacando </w:t>
            </w:r>
            <w:r w:rsidR="004007D7">
              <w:rPr>
                <w:rFonts w:asciiTheme="minorHAnsi" w:hAnsiTheme="minorHAnsi" w:cstheme="minorHAnsi"/>
                <w:sz w:val="22"/>
                <w:szCs w:val="22"/>
              </w:rPr>
              <w:t>os títulos das três propostas aprovadas</w:t>
            </w:r>
            <w:r w:rsidR="0002242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007D7">
              <w:rPr>
                <w:rFonts w:asciiTheme="minorHAnsi" w:hAnsiTheme="minorHAnsi" w:cstheme="minorHAnsi"/>
                <w:sz w:val="22"/>
                <w:szCs w:val="22"/>
              </w:rPr>
              <w:t xml:space="preserve">Informa também as quatro propostas aprovadas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 xml:space="preserve">no edital de publicações. A vice-presidente Andréa Ilha questiona quais os encaminhamentos para as publicações. O gerente Tales </w:t>
            </w:r>
            <w:r w:rsidR="00DC4888">
              <w:rPr>
                <w:rFonts w:ascii="Calibri" w:hAnsi="Calibri" w:cs="Calibri"/>
                <w:sz w:val="22"/>
                <w:szCs w:val="22"/>
              </w:rPr>
              <w:t>Völker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 xml:space="preserve"> salienta que serão necessários alguns ajustes de orçamento, para atendimento a especificidades de impressão. Indica que deverá ser feita</w:t>
            </w:r>
            <w:r w:rsidR="00EA077A">
              <w:rPr>
                <w:rFonts w:asciiTheme="minorHAnsi" w:hAnsiTheme="minorHAnsi" w:cstheme="minorHAnsi"/>
                <w:sz w:val="22"/>
                <w:szCs w:val="22"/>
              </w:rPr>
              <w:t xml:space="preserve"> transposição de valores dos editais de patrocínio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>e de apoio, caso não haja propostas para essas verbas.</w:t>
            </w:r>
            <w:r w:rsidR="00EA07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>O conselheiro Fá</w:t>
            </w:r>
            <w:r w:rsidR="00F26523">
              <w:rPr>
                <w:rFonts w:asciiTheme="minorHAnsi" w:hAnsiTheme="minorHAnsi" w:cstheme="minorHAnsi"/>
                <w:sz w:val="22"/>
                <w:szCs w:val="22"/>
              </w:rPr>
              <w:t xml:space="preserve">bio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 xml:space="preserve">Müller </w:t>
            </w:r>
            <w:r w:rsidR="00F26523">
              <w:rPr>
                <w:rFonts w:asciiTheme="minorHAnsi" w:hAnsiTheme="minorHAnsi" w:cstheme="minorHAnsi"/>
                <w:sz w:val="22"/>
                <w:szCs w:val="22"/>
              </w:rPr>
              <w:t>fala da burocracia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 xml:space="preserve"> dos editais de patrocínio e apoio, que carece ser revista,</w:t>
            </w:r>
            <w:r w:rsidR="00F26523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>indica</w:t>
            </w:r>
            <w:r w:rsidR="00F26523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DC4888">
              <w:rPr>
                <w:rFonts w:asciiTheme="minorHAnsi" w:hAnsiTheme="minorHAnsi" w:cstheme="minorHAnsi"/>
                <w:sz w:val="22"/>
                <w:szCs w:val="22"/>
              </w:rPr>
              <w:t>as publicações selecionadas são de muita qualidade, portanto, deve ser feito todo esforço para conseguir o investimento necessário. O conselheiro Rodrigo</w:t>
            </w:r>
            <w:r w:rsidR="00F265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0954">
              <w:rPr>
                <w:rFonts w:asciiTheme="minorHAnsi" w:hAnsiTheme="minorHAnsi" w:cstheme="minorHAnsi"/>
                <w:sz w:val="22"/>
                <w:szCs w:val="22"/>
              </w:rPr>
              <w:t xml:space="preserve">Spinelli </w:t>
            </w:r>
            <w:r w:rsidR="00832AEB">
              <w:rPr>
                <w:rFonts w:asciiTheme="minorHAnsi" w:hAnsiTheme="minorHAnsi" w:cstheme="minorHAnsi"/>
                <w:sz w:val="22"/>
                <w:szCs w:val="22"/>
              </w:rPr>
              <w:t>corrobora a fala do colega</w:t>
            </w:r>
            <w:r w:rsidR="00345EBA">
              <w:rPr>
                <w:rFonts w:asciiTheme="minorHAnsi" w:hAnsiTheme="minorHAnsi" w:cstheme="minorHAnsi"/>
                <w:sz w:val="22"/>
                <w:szCs w:val="22"/>
              </w:rPr>
              <w:t xml:space="preserve"> e salienta que o edital de pesquisas poderia prever mais cotas de menor valor, para maior alcance de contemplados</w:t>
            </w:r>
            <w:r w:rsidR="00832A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74E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2AEB">
              <w:rPr>
                <w:rFonts w:asciiTheme="minorHAnsi" w:hAnsiTheme="minorHAnsi" w:cstheme="minorHAnsi"/>
                <w:sz w:val="22"/>
                <w:szCs w:val="22"/>
              </w:rPr>
              <w:t xml:space="preserve">O gerente Tales </w:t>
            </w:r>
            <w:r w:rsidR="00832AEB">
              <w:rPr>
                <w:rFonts w:ascii="Calibri" w:hAnsi="Calibri" w:cs="Calibri"/>
                <w:sz w:val="22"/>
                <w:szCs w:val="22"/>
              </w:rPr>
              <w:t>Völker</w:t>
            </w:r>
            <w:r w:rsidR="00832A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5EBA">
              <w:rPr>
                <w:rFonts w:asciiTheme="minorHAnsi" w:hAnsiTheme="minorHAnsi" w:cstheme="minorHAnsi"/>
                <w:sz w:val="22"/>
                <w:szCs w:val="22"/>
              </w:rPr>
              <w:t xml:space="preserve">fala sobre a otimização dos procedimentos referentes ao processo dos editais, que está sendo tratada por um Grupo de Trabalho, ressaltando que há muito engessamento legal. </w:t>
            </w:r>
            <w:r w:rsidR="001D0D06">
              <w:rPr>
                <w:rFonts w:asciiTheme="minorHAnsi" w:hAnsiTheme="minorHAnsi" w:cstheme="minorHAnsi"/>
                <w:sz w:val="22"/>
                <w:szCs w:val="22"/>
              </w:rPr>
              <w:t xml:space="preserve">A secretária Josiane Bernardi lembra que também há dificuldade das entidades participantes em se organizarem para atender aos editais, existindo prestações de contas em aberto e que o Conselho, como órgão público, necessita ter certo rigor nesse processo. </w:t>
            </w:r>
            <w:r w:rsidR="00345EBA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1D0D06">
              <w:rPr>
                <w:rFonts w:asciiTheme="minorHAnsi" w:hAnsiTheme="minorHAnsi" w:cstheme="minorHAnsi"/>
                <w:sz w:val="22"/>
                <w:szCs w:val="22"/>
              </w:rPr>
              <w:t>Alexandre Giorgi relata observações enquanto membro da Comissão de Seleção do Edital de Patrocínio e sugere que os editais sejam pauta constante no Fórum das Entidades, de modo a alertar e orientar as entidades quanto ao atendimento das normas.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57232" w:rsidRPr="00273BC7" w:rsidRDefault="001D0D06" w:rsidP="00751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FE18B5" w:rsidRPr="00F73E9A" w:rsidTr="00B74005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FE18B5" w:rsidRPr="00F73E9A" w:rsidRDefault="00FE18B5" w:rsidP="00B7400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CF2A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:rsidR="0092216D" w:rsidRPr="00C94BB0" w:rsidRDefault="00E55605" w:rsidP="004E445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Revisão Regimento Interno CAU/RS</w:t>
            </w:r>
          </w:p>
        </w:tc>
      </w:tr>
      <w:tr w:rsidR="00E5560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5605" w:rsidRPr="00DF1176" w:rsidRDefault="00E55605" w:rsidP="00E556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55605" w:rsidRDefault="00E55605" w:rsidP="00E556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Organização e Administração</w:t>
            </w:r>
          </w:p>
        </w:tc>
      </w:tr>
      <w:tr w:rsidR="00E55605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55605" w:rsidRPr="00DF1176" w:rsidRDefault="00E55605" w:rsidP="00E5560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133730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55605" w:rsidRDefault="00E55605" w:rsidP="00E55605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Alexandre Giorgi / Josiane Bernardi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Default="005D281A" w:rsidP="00A1297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="Calibri" w:hAnsi="Calibri" w:cs="Calibri"/>
                <w:sz w:val="22"/>
                <w:szCs w:val="22"/>
              </w:rPr>
              <w:t>Alexandre Giorgi relata que na última reunião da COA, foram verificadas as contribuições recebidas dos(as) demais dos(as) conselheiros(as). Informa que foi debatida a sistematização das proposições e o modo de apresentação de todo material ao Plenário. A secretária Josiane Bernardi relata que participou da reunião, levando</w:t>
            </w:r>
            <w:r w:rsidR="007F01C8">
              <w:rPr>
                <w:rFonts w:ascii="Calibri" w:hAnsi="Calibri" w:cs="Calibri"/>
                <w:sz w:val="22"/>
                <w:szCs w:val="22"/>
              </w:rPr>
              <w:t xml:space="preserve"> alguns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apontamentos</w:t>
            </w:r>
            <w:r w:rsidR="007F01C8">
              <w:rPr>
                <w:rFonts w:ascii="Calibri" w:hAnsi="Calibri" w:cs="Calibri"/>
                <w:sz w:val="22"/>
                <w:szCs w:val="22"/>
              </w:rPr>
              <w:t xml:space="preserve"> da Presidência</w:t>
            </w:r>
            <w:r>
              <w:rPr>
                <w:rFonts w:ascii="Calibri" w:hAnsi="Calibri" w:cs="Calibri"/>
                <w:sz w:val="22"/>
                <w:szCs w:val="22"/>
              </w:rPr>
              <w:t>. Apresenta</w:t>
            </w:r>
            <w:r w:rsidR="006626BD">
              <w:rPr>
                <w:rFonts w:ascii="Calibri" w:hAnsi="Calibri" w:cs="Calibri"/>
                <w:sz w:val="22"/>
                <w:szCs w:val="22"/>
              </w:rPr>
              <w:t xml:space="preserve"> e esclarece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os encaminhamentos da deliberação aprovada pela COA.</w:t>
            </w:r>
            <w:r w:rsidR="00943287">
              <w:rPr>
                <w:rFonts w:ascii="Calibri" w:hAnsi="Calibri" w:cs="Calibri"/>
                <w:sz w:val="22"/>
                <w:szCs w:val="22"/>
              </w:rPr>
              <w:t xml:space="preserve"> O conselheiro Pedro Araújo parabeniza o trabalho realizado até ent</w:t>
            </w:r>
            <w:r w:rsidR="007F01C8">
              <w:rPr>
                <w:rFonts w:ascii="Calibri" w:hAnsi="Calibri" w:cs="Calibri"/>
                <w:sz w:val="22"/>
                <w:szCs w:val="22"/>
              </w:rPr>
              <w:t xml:space="preserve">ão, mas pondera que o tempo para desenvolver as próximas etapas talvez seja curto. Indica destaques que fez no material. </w:t>
            </w:r>
            <w:r w:rsidR="00A12970">
              <w:rPr>
                <w:rFonts w:ascii="Calibri" w:hAnsi="Calibri" w:cs="Calibri"/>
                <w:sz w:val="22"/>
                <w:szCs w:val="22"/>
              </w:rPr>
              <w:t xml:space="preserve">A secretária Josiane Bernardi apresenta proposição de deliberação do CD.  </w:t>
            </w: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92216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193493" w:rsidP="001934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Aprovados os encaminhamentos: c</w:t>
            </w:r>
            <w:r w:rsidR="00A12970">
              <w:rPr>
                <w:rFonts w:asciiTheme="minorHAnsi" w:hAnsiTheme="minorHAnsi" w:cstheme="minorHAnsi"/>
                <w:sz w:val="22"/>
                <w:szCs w:val="22"/>
              </w:rPr>
              <w:t>riação de Grupo de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consolidação do material</w:t>
            </w:r>
            <w:r w:rsidR="00A12970">
              <w:rPr>
                <w:rFonts w:asciiTheme="minorHAnsi" w:hAnsiTheme="minorHAnsi" w:cstheme="minorHAnsi"/>
                <w:sz w:val="22"/>
                <w:szCs w:val="22"/>
              </w:rPr>
              <w:t>; proposição de Reunião Plenária Ampliada em setembro; ajustes dos prazos e da metodologia anteriormente aprovados.</w:t>
            </w:r>
          </w:p>
        </w:tc>
      </w:tr>
      <w:tr w:rsidR="0092216D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92216D" w:rsidRDefault="0092216D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216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92216D" w:rsidRPr="00DF1176" w:rsidRDefault="0092216D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92216D" w:rsidRPr="00273BC7" w:rsidRDefault="00133730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Informe sobre Curso ATHIS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Gabinete</w:t>
            </w:r>
            <w:r w:rsidR="00751BA7">
              <w:rPr>
                <w:rFonts w:ascii="Calibri" w:hAnsi="Calibri" w:cs="Calibri"/>
                <w:sz w:val="22"/>
                <w:szCs w:val="22"/>
              </w:rPr>
              <w:t xml:space="preserve"> da Presidência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1A01AC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Andrea Ilha / Paulo Soares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7540F4" w:rsidP="00751B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vice-presidente Andréa Ilha</w:t>
            </w:r>
            <w:r w:rsidR="00751BA7">
              <w:rPr>
                <w:rFonts w:asciiTheme="minorHAnsi" w:hAnsiTheme="minorHAnsi" w:cstheme="minorHAnsi"/>
                <w:sz w:val="22"/>
                <w:szCs w:val="22"/>
              </w:rPr>
              <w:t xml:space="preserve"> relata que participou do curso e foi bastante proveitoso, no sentido de aproximação com os municípios interessados. Destaca a </w:t>
            </w:r>
            <w:r w:rsidR="00751BA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dinâmica adotada no evento, as participações e sugestões de ações.</w:t>
            </w:r>
            <w:r w:rsidR="000D373F">
              <w:rPr>
                <w:rFonts w:asciiTheme="minorHAnsi" w:hAnsiTheme="minorHAnsi" w:cstheme="minorHAnsi"/>
                <w:sz w:val="22"/>
                <w:szCs w:val="22"/>
              </w:rPr>
              <w:t xml:space="preserve"> O conselheiro Carlos Pedone questiona se há proposta de nova edição do curso. A secretária Josiane Bernardi informa que há intenção de incluir uma oficina vinculada ao curso na programação da Trienal.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273BC7" w:rsidRDefault="00751BA7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133730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1A01AC" w:rsidRDefault="00133730" w:rsidP="0013373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Calendário Geral – Versão 17 (DLB 036)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Secretaria Geral 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1A01AC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Andrea Ilha / Josiane Bernardi</w:t>
            </w:r>
          </w:p>
        </w:tc>
      </w:tr>
      <w:tr w:rsidR="00133730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07633D" w:rsidP="0007633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Bernardi apresenta as alterações de formato e inclusões de reuniões. O conselheiro Fausto Steffen informa solicitação da CPFI para ajuste de reuniões.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273BC7" w:rsidRDefault="0007633D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 a atualização do calendário.</w:t>
            </w:r>
          </w:p>
        </w:tc>
      </w:tr>
      <w:tr w:rsidR="00133730" w:rsidTr="004510EE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da 135ª Plenária Ordinária (DLB 039)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 Geral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1A01AC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Andrea Ilha / Josiane Bernardi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07633D" w:rsidP="00DA672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Bernardi apresenta as matérias a serem tratadas</w:t>
            </w:r>
            <w:r w:rsidR="00DA6726">
              <w:rPr>
                <w:rFonts w:asciiTheme="minorHAnsi" w:hAnsiTheme="minorHAnsi" w:cstheme="minorHAnsi"/>
                <w:sz w:val="22"/>
                <w:szCs w:val="22"/>
              </w:rPr>
              <w:t xml:space="preserve"> pelo Plenário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07633D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 a pauta da 135ª Reunião Plenária Ordinária.</w:t>
            </w:r>
          </w:p>
        </w:tc>
      </w:tr>
      <w:tr w:rsidR="00133730" w:rsidTr="004510EE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Informes relativos às ações contra o EAD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Ensino e Formação / Assessoria Jurídica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Pr="001A01AC" w:rsidRDefault="00133730" w:rsidP="001337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Rodrigo Spinelli / Alexandre Noal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14666A" w:rsidP="006102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Rodrigo Spinelli relata encaminhamento para atualização das DCNs, salientando o posicionamento da CEF em relação à situação e ao procedimento adotado. </w:t>
            </w:r>
            <w:r w:rsidR="00386E2D">
              <w:rPr>
                <w:rFonts w:asciiTheme="minorHAnsi" w:hAnsiTheme="minorHAnsi" w:cstheme="minorHAnsi"/>
                <w:sz w:val="22"/>
                <w:szCs w:val="22"/>
              </w:rPr>
              <w:t xml:space="preserve">Informa sobre ação judicial favorável a egressos EAD para efetivação de registro profissional junto ao CAU, que aguarda ordem de cumprimento, indicando que a comissão está </w:t>
            </w:r>
            <w:r w:rsidR="00610230">
              <w:rPr>
                <w:rFonts w:asciiTheme="minorHAnsi" w:hAnsiTheme="minorHAnsi" w:cstheme="minorHAnsi"/>
                <w:sz w:val="22"/>
                <w:szCs w:val="22"/>
              </w:rPr>
              <w:t xml:space="preserve">discutindo a </w:t>
            </w:r>
            <w:r w:rsidR="00386E2D">
              <w:rPr>
                <w:rFonts w:asciiTheme="minorHAnsi" w:hAnsiTheme="minorHAnsi" w:cstheme="minorHAnsi"/>
                <w:sz w:val="22"/>
                <w:szCs w:val="22"/>
              </w:rPr>
              <w:t>elabora</w:t>
            </w:r>
            <w:r w:rsidR="00610230">
              <w:rPr>
                <w:rFonts w:asciiTheme="minorHAnsi" w:hAnsiTheme="minorHAnsi" w:cstheme="minorHAnsi"/>
                <w:sz w:val="22"/>
                <w:szCs w:val="22"/>
              </w:rPr>
              <w:t>ção de uma</w:t>
            </w:r>
            <w:r w:rsidR="00386E2D">
              <w:rPr>
                <w:rFonts w:asciiTheme="minorHAnsi" w:hAnsiTheme="minorHAnsi" w:cstheme="minorHAnsi"/>
                <w:sz w:val="22"/>
                <w:szCs w:val="22"/>
              </w:rPr>
              <w:t xml:space="preserve"> proposição para que tais registros tenham caráter temporário.</w:t>
            </w:r>
            <w:r w:rsidR="00610230">
              <w:rPr>
                <w:rFonts w:asciiTheme="minorHAnsi" w:hAnsiTheme="minorHAnsi" w:cstheme="minorHAnsi"/>
                <w:sz w:val="22"/>
                <w:szCs w:val="22"/>
              </w:rPr>
              <w:t xml:space="preserve"> O conselheiro Carlos Pedone informa que foi debatido na CTQE e levado à CEP a necessidade de estudo para instituir um registro condicionado. O conselheiro Rodrigo Spinelli fala sobre proposição de atrelar o registro profissional à carga horária presencial e às atribuições, que será elaborada pelos CAU/RS, PR, SP, RJ e MG para deliberação pelo CAU/BR.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133730" w:rsidRDefault="00610230" w:rsidP="001337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133730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33730" w:rsidRPr="00EA75AE" w:rsidRDefault="00133730" w:rsidP="0013373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730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133730" w:rsidRPr="00B235BA" w:rsidRDefault="00133730" w:rsidP="00133730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35B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B235BA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0B06A5" w:rsidRDefault="00133730" w:rsidP="00133730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0488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Default="0040488C" w:rsidP="001337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26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/ Assessoria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Default="00133730" w:rsidP="004048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0488C">
              <w:rPr>
                <w:rFonts w:asciiTheme="minorHAnsi" w:hAnsiTheme="minorHAnsi" w:cstheme="minorHAnsi"/>
                <w:sz w:val="22"/>
                <w:szCs w:val="22"/>
              </w:rPr>
              <w:t>secretária Josiane Bernardi informa que foi atualizada a Portaria Normativa que trata sobre as diárias dos conselheiros, contemplando o pernoite em deslocamento. Informa que o presidente Tiago Holzmann está participando do Fórum dos Presidentes, em Brasília.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C2225A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C2225A" w:rsidP="00133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C2225A" w:rsidP="00C2225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Alexandre Giorgi informa que a comissão está analisando o regramento da COA/BR para a cessão de empregados, além do trabalho dedicado com o Regimento Interno.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13373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133730" w:rsidP="00133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133730" w:rsidP="00C07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Fausto Steffen </w:t>
            </w:r>
            <w:r w:rsidR="00C2225A">
              <w:rPr>
                <w:rFonts w:asciiTheme="minorHAnsi" w:hAnsiTheme="minorHAnsi" w:cstheme="minorHAnsi"/>
                <w:sz w:val="22"/>
                <w:szCs w:val="22"/>
              </w:rPr>
              <w:t>relata participação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Seminário da CPFI, </w:t>
            </w:r>
            <w:r w:rsidR="00C2225A">
              <w:rPr>
                <w:rFonts w:asciiTheme="minorHAnsi" w:hAnsiTheme="minorHAnsi" w:cstheme="minorHAnsi"/>
                <w:sz w:val="22"/>
                <w:szCs w:val="22"/>
              </w:rPr>
              <w:t xml:space="preserve">organizado pela Gerência de Planejamento do CAU/BR, </w:t>
            </w:r>
            <w:r w:rsidR="00170012">
              <w:rPr>
                <w:rFonts w:asciiTheme="minorHAnsi" w:hAnsiTheme="minorHAnsi" w:cstheme="minorHAnsi"/>
                <w:sz w:val="22"/>
                <w:szCs w:val="22"/>
              </w:rPr>
              <w:t>que contou com participação de empregados das áreas técnicas, conselheiros e presidentes</w:t>
            </w:r>
            <w:r w:rsidR="00FD2C13">
              <w:rPr>
                <w:rFonts w:asciiTheme="minorHAnsi" w:hAnsiTheme="minorHAnsi" w:cstheme="minorHAnsi"/>
                <w:sz w:val="22"/>
                <w:szCs w:val="22"/>
              </w:rPr>
              <w:t xml:space="preserve"> e fez um balanço do Planejamento nos 10 anos de Conselho</w:t>
            </w:r>
            <w:r w:rsidR="001A2435">
              <w:rPr>
                <w:rFonts w:asciiTheme="minorHAnsi" w:hAnsiTheme="minorHAnsi" w:cstheme="minorHAnsi"/>
                <w:sz w:val="22"/>
                <w:szCs w:val="22"/>
              </w:rPr>
              <w:t>, entre outras pautas</w:t>
            </w:r>
            <w:r w:rsidR="00FD2C13">
              <w:rPr>
                <w:rFonts w:asciiTheme="minorHAnsi" w:hAnsiTheme="minorHAnsi" w:cstheme="minorHAnsi"/>
                <w:sz w:val="22"/>
                <w:szCs w:val="22"/>
              </w:rPr>
              <w:t>. Salienta a mudança de postura necessária para que as CPFIs comecem a de fato tratar do planejamento e não apenas da parte orçamentária.</w:t>
            </w:r>
            <w:r w:rsidR="001A24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73E7">
              <w:rPr>
                <w:rFonts w:asciiTheme="minorHAnsi" w:hAnsiTheme="minorHAnsi" w:cstheme="minorHAnsi"/>
                <w:sz w:val="22"/>
                <w:szCs w:val="22"/>
              </w:rPr>
              <w:t xml:space="preserve">O gerente Tales Völker destaca a importância da diversidade de perfis dos participantes </w:t>
            </w:r>
            <w:r w:rsidR="00013D4B">
              <w:rPr>
                <w:rFonts w:asciiTheme="minorHAnsi" w:hAnsiTheme="minorHAnsi" w:cstheme="minorHAnsi"/>
                <w:sz w:val="22"/>
                <w:szCs w:val="22"/>
              </w:rPr>
              <w:t xml:space="preserve">do Seminário </w:t>
            </w:r>
            <w:r w:rsidR="00C073E7">
              <w:rPr>
                <w:rFonts w:asciiTheme="minorHAnsi" w:hAnsiTheme="minorHAnsi" w:cstheme="minorHAnsi"/>
                <w:sz w:val="22"/>
                <w:szCs w:val="22"/>
              </w:rPr>
              <w:t>e da metodologia indicada para o planejamento dos CAU/UF.</w:t>
            </w:r>
            <w:r w:rsidR="006308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03D7">
              <w:rPr>
                <w:rFonts w:asciiTheme="minorHAnsi" w:hAnsiTheme="minorHAnsi" w:cstheme="minorHAnsi"/>
                <w:sz w:val="22"/>
                <w:szCs w:val="22"/>
              </w:rPr>
              <w:t>A vice-presidente Andréa Ilha questiona a previsão de continuidade do trabalho. O conselheiro Fausto Steffen afirma que deve ter continuidade em encontros remotos.</w:t>
            </w:r>
            <w:r w:rsidR="0002067A">
              <w:rPr>
                <w:rFonts w:asciiTheme="minorHAnsi" w:hAnsiTheme="minorHAnsi" w:cstheme="minorHAnsi"/>
                <w:sz w:val="22"/>
                <w:szCs w:val="22"/>
              </w:rPr>
              <w:t xml:space="preserve"> Os presentes debatem brevemente sobre a agenda de eventos e alternativas de participação em geral.</w:t>
            </w:r>
          </w:p>
        </w:tc>
      </w:tr>
      <w:tr w:rsidR="00370E0B" w:rsidRPr="00DF1176" w:rsidTr="00A810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70E0B" w:rsidRPr="008E3B4B" w:rsidRDefault="00370E0B" w:rsidP="00370E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70E0B" w:rsidRPr="00D66C5A" w:rsidRDefault="00370E0B" w:rsidP="00A810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6C5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370E0B" w:rsidRPr="00DF1176" w:rsidTr="00A810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70E0B" w:rsidRDefault="00370E0B" w:rsidP="00A810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70E0B" w:rsidRPr="00993BEB" w:rsidRDefault="00370E0B" w:rsidP="00A810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370E0B" w:rsidRPr="00DF1176" w:rsidTr="00A810DB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370E0B" w:rsidRDefault="00370E0B" w:rsidP="00A810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70E0B" w:rsidRPr="00993BEB" w:rsidRDefault="00370E0B" w:rsidP="00A810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a CED segue buscando estratégias para alterar gradativamente o caráter da sua atuação de punitiva para orientativa.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370E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0E7F6A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E66CED" w:rsidRDefault="00133730" w:rsidP="0013373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3730" w:rsidRPr="00E66CED" w:rsidRDefault="00133730" w:rsidP="00370E0B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4273F">
              <w:rPr>
                <w:rFonts w:asciiTheme="minorHAnsi" w:hAnsiTheme="minorHAnsi" w:cstheme="minorHAnsi"/>
                <w:sz w:val="22"/>
                <w:szCs w:val="22"/>
              </w:rPr>
              <w:t>O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Carlos Pedone</w:t>
            </w:r>
            <w:r w:rsidRPr="00C427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70E0B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r w:rsidR="00737581">
              <w:rPr>
                <w:rFonts w:asciiTheme="minorHAnsi" w:hAnsiTheme="minorHAnsi" w:cstheme="minorHAnsi"/>
                <w:sz w:val="22"/>
                <w:szCs w:val="22"/>
              </w:rPr>
              <w:t>a que a CEP está reestruturando o posicionamento do Conselho para retorno frente a consultas de prefeituras sobre atribuições</w:t>
            </w:r>
            <w:r w:rsidR="008B5AAA">
              <w:rPr>
                <w:rFonts w:asciiTheme="minorHAnsi" w:hAnsiTheme="minorHAnsi" w:cstheme="minorHAnsi"/>
                <w:sz w:val="22"/>
                <w:szCs w:val="22"/>
              </w:rPr>
              <w:t xml:space="preserve"> de técnicos de nível médio</w:t>
            </w:r>
            <w:r w:rsidR="007375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B5A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4BE5">
              <w:rPr>
                <w:rFonts w:asciiTheme="minorHAnsi" w:hAnsiTheme="minorHAnsi" w:cstheme="minorHAnsi"/>
                <w:sz w:val="22"/>
                <w:szCs w:val="22"/>
              </w:rPr>
              <w:t xml:space="preserve">Indica que há um impasse com as assessorias técnica e jurídica para esse enfrentamento, mas que já há ação do CAU/BR </w:t>
            </w:r>
            <w:r w:rsidR="00370E0B">
              <w:rPr>
                <w:rFonts w:asciiTheme="minorHAnsi" w:hAnsiTheme="minorHAnsi" w:cstheme="minorHAnsi"/>
                <w:sz w:val="22"/>
                <w:szCs w:val="22"/>
              </w:rPr>
              <w:t>nesse</w:t>
            </w:r>
            <w:r w:rsidR="00DB4BE5">
              <w:rPr>
                <w:rFonts w:asciiTheme="minorHAnsi" w:hAnsiTheme="minorHAnsi" w:cstheme="minorHAnsi"/>
                <w:sz w:val="22"/>
                <w:szCs w:val="22"/>
              </w:rPr>
              <w:t xml:space="preserve"> sentido.</w:t>
            </w:r>
            <w:r w:rsidR="00370E0B">
              <w:rPr>
                <w:rFonts w:asciiTheme="minorHAnsi" w:hAnsiTheme="minorHAnsi" w:cstheme="minorHAnsi"/>
                <w:sz w:val="22"/>
                <w:szCs w:val="22"/>
              </w:rPr>
              <w:t xml:space="preserve"> Relata participação no Encontro da CEP-Sul com o CAU/BR, em Florianópolis, onde foram tratadas diversas questões de interesse com boa recepção e encaminhamento das necessidades dos CAU/UF.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370E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133730" w:rsidRPr="00500800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273BC7" w:rsidRDefault="00C2225A" w:rsidP="00133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FA5904" w:rsidRDefault="001A2435" w:rsidP="00F20D38">
            <w:pPr>
              <w:pStyle w:val="NormalWeb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 w:rsidR="00370E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0D38">
              <w:rPr>
                <w:rFonts w:asciiTheme="minorHAnsi" w:hAnsiTheme="minorHAnsi" w:cstheme="minorHAnsi"/>
                <w:sz w:val="22"/>
                <w:szCs w:val="22"/>
              </w:rPr>
              <w:t>relata que no evento da CEF foi tratada a questão da atuação no exterior, destacando que as restrições para os profissionais brasileiros está muito vinculada à carga horária brasileira, que é menor que as dos demais países.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7A171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042A59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707ACA" w:rsidRDefault="00133730" w:rsidP="00133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707ACA" w:rsidRDefault="00133730" w:rsidP="001D60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71F">
              <w:rPr>
                <w:rFonts w:asciiTheme="minorHAnsi" w:hAnsiTheme="minorHAnsi" w:cstheme="minorHAnsi"/>
                <w:sz w:val="22"/>
                <w:szCs w:val="22"/>
              </w:rPr>
              <w:t>relata que a última reunião da CPC teve participação da coordenadora da CPUA do CAU/SP para troca de experiências e estruturação de novas ações no RS</w:t>
            </w:r>
            <w:r w:rsidR="001D606F">
              <w:rPr>
                <w:rFonts w:asciiTheme="minorHAnsi" w:hAnsiTheme="minorHAnsi" w:cstheme="minorHAnsi"/>
                <w:sz w:val="22"/>
                <w:szCs w:val="22"/>
              </w:rPr>
              <w:t>, como um programa de assistência técnica voltado ao patrimônio</w:t>
            </w:r>
            <w:r w:rsidR="007A171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83465">
              <w:rPr>
                <w:rFonts w:asciiTheme="minorHAnsi" w:hAnsiTheme="minorHAnsi" w:cstheme="minorHAnsi"/>
                <w:sz w:val="22"/>
                <w:szCs w:val="22"/>
              </w:rPr>
              <w:t xml:space="preserve"> Informa que amanhã, dia 20, </w:t>
            </w:r>
            <w:r w:rsidR="001D606F">
              <w:rPr>
                <w:rFonts w:asciiTheme="minorHAnsi" w:hAnsiTheme="minorHAnsi" w:cstheme="minorHAnsi"/>
                <w:sz w:val="22"/>
                <w:szCs w:val="22"/>
              </w:rPr>
              <w:t xml:space="preserve">dentro da programação do governo estadual, </w:t>
            </w:r>
            <w:r w:rsidR="00983465">
              <w:rPr>
                <w:rFonts w:asciiTheme="minorHAnsi" w:hAnsiTheme="minorHAnsi" w:cstheme="minorHAnsi"/>
                <w:sz w:val="22"/>
                <w:szCs w:val="22"/>
              </w:rPr>
              <w:t>será promovid</w:t>
            </w:r>
            <w:r w:rsidR="001D60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83465">
              <w:rPr>
                <w:rFonts w:asciiTheme="minorHAnsi" w:hAnsiTheme="minorHAnsi" w:cstheme="minorHAnsi"/>
                <w:sz w:val="22"/>
                <w:szCs w:val="22"/>
              </w:rPr>
              <w:t xml:space="preserve"> uma edição do CAU Vivo, evento virtual, sobre a temática, em referência ao Dia do Patrimônio, comemorado no último dia 17.</w:t>
            </w:r>
            <w:r w:rsidR="001D606F">
              <w:rPr>
                <w:rFonts w:asciiTheme="minorHAnsi" w:hAnsiTheme="minorHAnsi" w:cstheme="minorHAnsi"/>
                <w:sz w:val="22"/>
                <w:szCs w:val="22"/>
              </w:rPr>
              <w:t xml:space="preserve"> Salienta que até o dia 28 estarão sendo recebidas inscrições no Concurso de Fotografia e que também no segundo semestre deverá ser concluída a Cartilha do Patrimônio.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8E3B4B" w:rsidRDefault="00133730" w:rsidP="007A171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042A59" w:rsidRDefault="00133730" w:rsidP="001337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042A59" w:rsidRDefault="00133730" w:rsidP="001337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042A59" w:rsidRDefault="00133730" w:rsidP="00B7171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Pedro Araújo </w:t>
            </w:r>
            <w:r w:rsidR="001D7E80">
              <w:rPr>
                <w:rFonts w:asciiTheme="minorHAnsi" w:hAnsiTheme="minorHAnsi" w:cstheme="minorHAnsi"/>
                <w:sz w:val="22"/>
                <w:szCs w:val="22"/>
              </w:rPr>
              <w:t>informa que a CPUA avançou no projeto de elaboração da tese sobre Planos Diretores e também organizou nova reunião</w:t>
            </w:r>
            <w:r w:rsidR="00B71710">
              <w:rPr>
                <w:rFonts w:asciiTheme="minorHAnsi" w:hAnsiTheme="minorHAnsi" w:cstheme="minorHAnsi"/>
                <w:sz w:val="22"/>
                <w:szCs w:val="22"/>
              </w:rPr>
              <w:t xml:space="preserve"> para o dia 31</w:t>
            </w:r>
            <w:r w:rsidR="001D7E80">
              <w:rPr>
                <w:rFonts w:asciiTheme="minorHAnsi" w:hAnsiTheme="minorHAnsi" w:cstheme="minorHAnsi"/>
                <w:sz w:val="22"/>
                <w:szCs w:val="22"/>
              </w:rPr>
              <w:t xml:space="preserve"> com os representantes institucionais sobre o tema</w:t>
            </w:r>
            <w:r w:rsidR="00B71710">
              <w:rPr>
                <w:rFonts w:asciiTheme="minorHAnsi" w:hAnsiTheme="minorHAnsi" w:cstheme="minorHAnsi"/>
                <w:sz w:val="22"/>
                <w:szCs w:val="22"/>
              </w:rPr>
              <w:t>, visando obter relatos e auxiliar em eventuais dúvidas junto com a assessoria jurídica do CAU/RS. Ressalta que está sendo organizada atividade com a CPUA-CAU/BR na Trienal envolvendo as demais CPUAs.</w:t>
            </w:r>
            <w:bookmarkStart w:id="0" w:name="_GoBack"/>
            <w:bookmarkEnd w:id="0"/>
          </w:p>
        </w:tc>
      </w:tr>
      <w:tr w:rsidR="00133730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33730" w:rsidRPr="00DF1176" w:rsidRDefault="00133730" w:rsidP="00133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133730" w:rsidRPr="00EA75AE" w:rsidRDefault="00133730" w:rsidP="0013373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3730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133730" w:rsidRPr="008E3B4B" w:rsidRDefault="00133730" w:rsidP="007A171F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133730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33730" w:rsidRPr="00207E5F" w:rsidRDefault="00133730" w:rsidP="00133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33730" w:rsidRPr="00174214" w:rsidRDefault="00133730" w:rsidP="001337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042A59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6h15. A súmula será encaminhada por e-mail para leitura e aprovação na próxima reunião.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825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51AC7" w:rsidRPr="00451AC7" w:rsidRDefault="00EF48E0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5F3BC0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7D" w:rsidRDefault="006B3A7D" w:rsidP="004C3048">
      <w:r>
        <w:separator/>
      </w:r>
    </w:p>
  </w:endnote>
  <w:endnote w:type="continuationSeparator" w:id="0">
    <w:p w:rsidR="006B3A7D" w:rsidRDefault="006B3A7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 w:rsidR="006E4752">
      <w:rPr>
        <w:rFonts w:ascii="Arial" w:hAnsi="Arial"/>
        <w:noProof/>
        <w:color w:val="003333"/>
        <w:sz w:val="16"/>
      </w:rPr>
      <w:t>230</w:t>
    </w:r>
    <w:r w:rsidRPr="005950FA">
      <w:rPr>
        <w:rFonts w:ascii="Arial" w:hAnsi="Arial"/>
        <w:noProof/>
        <w:color w:val="003333"/>
        <w:sz w:val="16"/>
      </w:rPr>
      <w:t>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71710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A171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7D" w:rsidRDefault="006B3A7D" w:rsidP="004C3048">
      <w:r>
        <w:separator/>
      </w:r>
    </w:p>
  </w:footnote>
  <w:footnote w:type="continuationSeparator" w:id="0">
    <w:p w:rsidR="006B3A7D" w:rsidRDefault="006B3A7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6E4752">
      <w:rPr>
        <w:rFonts w:ascii="DaxCondensed" w:hAnsi="DaxCondensed" w:cs="Arial"/>
        <w:color w:val="386C71"/>
        <w:sz w:val="20"/>
        <w:szCs w:val="20"/>
      </w:rPr>
      <w:t>230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0A40628B" wp14:editId="631135E7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1915DEF" wp14:editId="40CD5BD6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6E4752">
      <w:rPr>
        <w:rFonts w:ascii="DaxCondensed" w:hAnsi="DaxCondensed" w:cs="Arial"/>
        <w:color w:val="386C71"/>
        <w:sz w:val="20"/>
        <w:szCs w:val="20"/>
      </w:rPr>
      <w:t>230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5CD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3D4B"/>
    <w:rsid w:val="000145D1"/>
    <w:rsid w:val="000145F6"/>
    <w:rsid w:val="00015009"/>
    <w:rsid w:val="0001735A"/>
    <w:rsid w:val="00017D09"/>
    <w:rsid w:val="0002038B"/>
    <w:rsid w:val="0002067A"/>
    <w:rsid w:val="0002094A"/>
    <w:rsid w:val="00020AB5"/>
    <w:rsid w:val="00020D86"/>
    <w:rsid w:val="00021D8D"/>
    <w:rsid w:val="000221B3"/>
    <w:rsid w:val="00022421"/>
    <w:rsid w:val="00023657"/>
    <w:rsid w:val="00024537"/>
    <w:rsid w:val="00024B41"/>
    <w:rsid w:val="0002507B"/>
    <w:rsid w:val="0002566E"/>
    <w:rsid w:val="0002591B"/>
    <w:rsid w:val="00027B09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4A3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5779"/>
    <w:rsid w:val="000758B4"/>
    <w:rsid w:val="0007633D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9029C"/>
    <w:rsid w:val="00090E73"/>
    <w:rsid w:val="00091969"/>
    <w:rsid w:val="00091D3E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0954"/>
    <w:rsid w:val="000A2236"/>
    <w:rsid w:val="000A229C"/>
    <w:rsid w:val="000A52F5"/>
    <w:rsid w:val="000A6EDD"/>
    <w:rsid w:val="000A7355"/>
    <w:rsid w:val="000A7656"/>
    <w:rsid w:val="000B06A5"/>
    <w:rsid w:val="000B18C8"/>
    <w:rsid w:val="000B1EC6"/>
    <w:rsid w:val="000B2E0C"/>
    <w:rsid w:val="000B312B"/>
    <w:rsid w:val="000B373C"/>
    <w:rsid w:val="000B3C18"/>
    <w:rsid w:val="000B3E9E"/>
    <w:rsid w:val="000B48F2"/>
    <w:rsid w:val="000B53C6"/>
    <w:rsid w:val="000C0181"/>
    <w:rsid w:val="000C05AC"/>
    <w:rsid w:val="000C0DFD"/>
    <w:rsid w:val="000C12D1"/>
    <w:rsid w:val="000C1A24"/>
    <w:rsid w:val="000C239A"/>
    <w:rsid w:val="000C3500"/>
    <w:rsid w:val="000C53B9"/>
    <w:rsid w:val="000C5542"/>
    <w:rsid w:val="000C5F1C"/>
    <w:rsid w:val="000C6E9E"/>
    <w:rsid w:val="000C7A3A"/>
    <w:rsid w:val="000D1A55"/>
    <w:rsid w:val="000D2BC9"/>
    <w:rsid w:val="000D373F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6304"/>
    <w:rsid w:val="000E6C6E"/>
    <w:rsid w:val="000E7F6A"/>
    <w:rsid w:val="000F0000"/>
    <w:rsid w:val="000F05B3"/>
    <w:rsid w:val="000F0725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FDC"/>
    <w:rsid w:val="00102518"/>
    <w:rsid w:val="001032AB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1ED7"/>
    <w:rsid w:val="001125C2"/>
    <w:rsid w:val="00112E8E"/>
    <w:rsid w:val="00114A2A"/>
    <w:rsid w:val="0011553A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7C"/>
    <w:rsid w:val="00131A15"/>
    <w:rsid w:val="00131C29"/>
    <w:rsid w:val="0013310E"/>
    <w:rsid w:val="001334AD"/>
    <w:rsid w:val="00133730"/>
    <w:rsid w:val="00133AD2"/>
    <w:rsid w:val="0013411A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66A"/>
    <w:rsid w:val="0014673B"/>
    <w:rsid w:val="00147B32"/>
    <w:rsid w:val="00147DC2"/>
    <w:rsid w:val="00150340"/>
    <w:rsid w:val="00150B83"/>
    <w:rsid w:val="001514D1"/>
    <w:rsid w:val="00152C3B"/>
    <w:rsid w:val="00154458"/>
    <w:rsid w:val="00154EE6"/>
    <w:rsid w:val="001568F8"/>
    <w:rsid w:val="00157166"/>
    <w:rsid w:val="00157E12"/>
    <w:rsid w:val="001603B1"/>
    <w:rsid w:val="00161397"/>
    <w:rsid w:val="001614CB"/>
    <w:rsid w:val="0016330B"/>
    <w:rsid w:val="00163A1B"/>
    <w:rsid w:val="00164263"/>
    <w:rsid w:val="0016453E"/>
    <w:rsid w:val="001645AF"/>
    <w:rsid w:val="0016608E"/>
    <w:rsid w:val="001660B5"/>
    <w:rsid w:val="0016733C"/>
    <w:rsid w:val="00170012"/>
    <w:rsid w:val="00170BA5"/>
    <w:rsid w:val="00170CA0"/>
    <w:rsid w:val="00170E51"/>
    <w:rsid w:val="00171406"/>
    <w:rsid w:val="00173285"/>
    <w:rsid w:val="001740B6"/>
    <w:rsid w:val="00174214"/>
    <w:rsid w:val="0017450D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93"/>
    <w:rsid w:val="001934F7"/>
    <w:rsid w:val="00194392"/>
    <w:rsid w:val="00194F9C"/>
    <w:rsid w:val="00195282"/>
    <w:rsid w:val="00195944"/>
    <w:rsid w:val="001962A6"/>
    <w:rsid w:val="00196A85"/>
    <w:rsid w:val="001979E1"/>
    <w:rsid w:val="00197C29"/>
    <w:rsid w:val="001A0CAF"/>
    <w:rsid w:val="001A15FF"/>
    <w:rsid w:val="001A1DC8"/>
    <w:rsid w:val="001A241D"/>
    <w:rsid w:val="001A2435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1341"/>
    <w:rsid w:val="001C28D0"/>
    <w:rsid w:val="001C2E89"/>
    <w:rsid w:val="001C3026"/>
    <w:rsid w:val="001C424F"/>
    <w:rsid w:val="001C476F"/>
    <w:rsid w:val="001C500E"/>
    <w:rsid w:val="001C54D4"/>
    <w:rsid w:val="001D0D06"/>
    <w:rsid w:val="001D2087"/>
    <w:rsid w:val="001D3298"/>
    <w:rsid w:val="001D420A"/>
    <w:rsid w:val="001D4555"/>
    <w:rsid w:val="001D58BF"/>
    <w:rsid w:val="001D58D6"/>
    <w:rsid w:val="001D5DB4"/>
    <w:rsid w:val="001D606F"/>
    <w:rsid w:val="001D79E8"/>
    <w:rsid w:val="001D7E80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7AC0"/>
    <w:rsid w:val="00220A16"/>
    <w:rsid w:val="00220B4C"/>
    <w:rsid w:val="0022131B"/>
    <w:rsid w:val="00222A06"/>
    <w:rsid w:val="002248BC"/>
    <w:rsid w:val="002257E5"/>
    <w:rsid w:val="00225FAC"/>
    <w:rsid w:val="0022675C"/>
    <w:rsid w:val="00227439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601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747C"/>
    <w:rsid w:val="002C7998"/>
    <w:rsid w:val="002D0B51"/>
    <w:rsid w:val="002D2D04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AE2"/>
    <w:rsid w:val="003278C3"/>
    <w:rsid w:val="003278CF"/>
    <w:rsid w:val="00327DA6"/>
    <w:rsid w:val="00330911"/>
    <w:rsid w:val="00330F0B"/>
    <w:rsid w:val="00331A31"/>
    <w:rsid w:val="00331D31"/>
    <w:rsid w:val="00331E6B"/>
    <w:rsid w:val="00331ECA"/>
    <w:rsid w:val="003321B5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9C2"/>
    <w:rsid w:val="003442C2"/>
    <w:rsid w:val="0034545A"/>
    <w:rsid w:val="00345EB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03D7"/>
    <w:rsid w:val="00370E0B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8FE"/>
    <w:rsid w:val="003825B2"/>
    <w:rsid w:val="003831A7"/>
    <w:rsid w:val="00383F38"/>
    <w:rsid w:val="003846CC"/>
    <w:rsid w:val="00385C40"/>
    <w:rsid w:val="00386E2D"/>
    <w:rsid w:val="00386EBB"/>
    <w:rsid w:val="003870BA"/>
    <w:rsid w:val="003875B5"/>
    <w:rsid w:val="00392734"/>
    <w:rsid w:val="00393895"/>
    <w:rsid w:val="003945A8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E6D"/>
    <w:rsid w:val="003F01C1"/>
    <w:rsid w:val="003F1946"/>
    <w:rsid w:val="003F1C9F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7D7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488C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281"/>
    <w:rsid w:val="00415813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426D"/>
    <w:rsid w:val="00424627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6E1B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6DE1"/>
    <w:rsid w:val="0048062F"/>
    <w:rsid w:val="004826FD"/>
    <w:rsid w:val="00483414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4406"/>
    <w:rsid w:val="0053650D"/>
    <w:rsid w:val="005366CC"/>
    <w:rsid w:val="00536C65"/>
    <w:rsid w:val="0053748C"/>
    <w:rsid w:val="005414E3"/>
    <w:rsid w:val="0054161B"/>
    <w:rsid w:val="00541CFD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786F"/>
    <w:rsid w:val="00567D80"/>
    <w:rsid w:val="0057067B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63C2"/>
    <w:rsid w:val="00590B90"/>
    <w:rsid w:val="00591B1C"/>
    <w:rsid w:val="00592959"/>
    <w:rsid w:val="00594EE4"/>
    <w:rsid w:val="005955E7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0C7"/>
    <w:rsid w:val="005B1AF6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4E6A"/>
    <w:rsid w:val="005C652C"/>
    <w:rsid w:val="005C6C38"/>
    <w:rsid w:val="005C7F92"/>
    <w:rsid w:val="005C7F94"/>
    <w:rsid w:val="005D0D8D"/>
    <w:rsid w:val="005D185C"/>
    <w:rsid w:val="005D2428"/>
    <w:rsid w:val="005D281A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B7D"/>
    <w:rsid w:val="00606026"/>
    <w:rsid w:val="0060634C"/>
    <w:rsid w:val="00610230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84B"/>
    <w:rsid w:val="00630BFC"/>
    <w:rsid w:val="00631376"/>
    <w:rsid w:val="00632496"/>
    <w:rsid w:val="006326C4"/>
    <w:rsid w:val="0063271D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16E"/>
    <w:rsid w:val="00647309"/>
    <w:rsid w:val="00650592"/>
    <w:rsid w:val="0065060C"/>
    <w:rsid w:val="0065085D"/>
    <w:rsid w:val="0065137A"/>
    <w:rsid w:val="0065203B"/>
    <w:rsid w:val="006548FA"/>
    <w:rsid w:val="00654F1E"/>
    <w:rsid w:val="006565DE"/>
    <w:rsid w:val="00656CCA"/>
    <w:rsid w:val="00660528"/>
    <w:rsid w:val="00661135"/>
    <w:rsid w:val="006611DD"/>
    <w:rsid w:val="00661AD0"/>
    <w:rsid w:val="00662475"/>
    <w:rsid w:val="006626BD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BD"/>
    <w:rsid w:val="00674EFD"/>
    <w:rsid w:val="00674F1F"/>
    <w:rsid w:val="006762E9"/>
    <w:rsid w:val="00676882"/>
    <w:rsid w:val="00676A90"/>
    <w:rsid w:val="00676E21"/>
    <w:rsid w:val="00677870"/>
    <w:rsid w:val="00680656"/>
    <w:rsid w:val="00681548"/>
    <w:rsid w:val="006824D1"/>
    <w:rsid w:val="00682A4A"/>
    <w:rsid w:val="00683067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8BD"/>
    <w:rsid w:val="00695473"/>
    <w:rsid w:val="00695621"/>
    <w:rsid w:val="00695A1B"/>
    <w:rsid w:val="006969A7"/>
    <w:rsid w:val="00696C90"/>
    <w:rsid w:val="006A0CE5"/>
    <w:rsid w:val="006A0DA1"/>
    <w:rsid w:val="006A1327"/>
    <w:rsid w:val="006A1CA9"/>
    <w:rsid w:val="006A1E8E"/>
    <w:rsid w:val="006A21C6"/>
    <w:rsid w:val="006A2382"/>
    <w:rsid w:val="006A2951"/>
    <w:rsid w:val="006A5483"/>
    <w:rsid w:val="006A54C0"/>
    <w:rsid w:val="006A56AD"/>
    <w:rsid w:val="006A5CEA"/>
    <w:rsid w:val="006A66C3"/>
    <w:rsid w:val="006B0776"/>
    <w:rsid w:val="006B1AF3"/>
    <w:rsid w:val="006B2DF1"/>
    <w:rsid w:val="006B3A7D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4752"/>
    <w:rsid w:val="006E55D4"/>
    <w:rsid w:val="006E6474"/>
    <w:rsid w:val="006F03DD"/>
    <w:rsid w:val="006F19F6"/>
    <w:rsid w:val="006F40BF"/>
    <w:rsid w:val="006F4E9B"/>
    <w:rsid w:val="006F4F2C"/>
    <w:rsid w:val="006F55B3"/>
    <w:rsid w:val="006F6327"/>
    <w:rsid w:val="006F769F"/>
    <w:rsid w:val="006F7C97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581"/>
    <w:rsid w:val="007375FB"/>
    <w:rsid w:val="00740881"/>
    <w:rsid w:val="007408ED"/>
    <w:rsid w:val="00740E14"/>
    <w:rsid w:val="00740F09"/>
    <w:rsid w:val="00742195"/>
    <w:rsid w:val="007427D5"/>
    <w:rsid w:val="00743C83"/>
    <w:rsid w:val="0074480D"/>
    <w:rsid w:val="00744D44"/>
    <w:rsid w:val="00746A75"/>
    <w:rsid w:val="0075194D"/>
    <w:rsid w:val="00751BA7"/>
    <w:rsid w:val="00752BBE"/>
    <w:rsid w:val="00752C46"/>
    <w:rsid w:val="00753733"/>
    <w:rsid w:val="007537DB"/>
    <w:rsid w:val="00753A12"/>
    <w:rsid w:val="007540F4"/>
    <w:rsid w:val="00754485"/>
    <w:rsid w:val="00754489"/>
    <w:rsid w:val="0075456A"/>
    <w:rsid w:val="0075463B"/>
    <w:rsid w:val="007562B2"/>
    <w:rsid w:val="0075766A"/>
    <w:rsid w:val="0076052B"/>
    <w:rsid w:val="00760943"/>
    <w:rsid w:val="00760945"/>
    <w:rsid w:val="00761F82"/>
    <w:rsid w:val="00762336"/>
    <w:rsid w:val="0076286B"/>
    <w:rsid w:val="00766073"/>
    <w:rsid w:val="00770C9D"/>
    <w:rsid w:val="00771183"/>
    <w:rsid w:val="007716D8"/>
    <w:rsid w:val="00771DFC"/>
    <w:rsid w:val="00771E60"/>
    <w:rsid w:val="00771FE8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B38"/>
    <w:rsid w:val="00794D74"/>
    <w:rsid w:val="00794D87"/>
    <w:rsid w:val="007964CC"/>
    <w:rsid w:val="00796CEE"/>
    <w:rsid w:val="00796E02"/>
    <w:rsid w:val="007A027C"/>
    <w:rsid w:val="007A14A1"/>
    <w:rsid w:val="007A171F"/>
    <w:rsid w:val="007A1776"/>
    <w:rsid w:val="007A1ACF"/>
    <w:rsid w:val="007A29B6"/>
    <w:rsid w:val="007A4500"/>
    <w:rsid w:val="007A63B7"/>
    <w:rsid w:val="007A6636"/>
    <w:rsid w:val="007A727D"/>
    <w:rsid w:val="007B1609"/>
    <w:rsid w:val="007B200C"/>
    <w:rsid w:val="007B207B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A1D"/>
    <w:rsid w:val="007D5E54"/>
    <w:rsid w:val="007D623D"/>
    <w:rsid w:val="007D644C"/>
    <w:rsid w:val="007D6752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1C8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1425"/>
    <w:rsid w:val="00832AEB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F27"/>
    <w:rsid w:val="008612A2"/>
    <w:rsid w:val="00862AF7"/>
    <w:rsid w:val="00863FE5"/>
    <w:rsid w:val="00865818"/>
    <w:rsid w:val="00865FF1"/>
    <w:rsid w:val="00866042"/>
    <w:rsid w:val="00866515"/>
    <w:rsid w:val="0086709B"/>
    <w:rsid w:val="008701F9"/>
    <w:rsid w:val="008704CC"/>
    <w:rsid w:val="008706EF"/>
    <w:rsid w:val="00871CB4"/>
    <w:rsid w:val="00872B74"/>
    <w:rsid w:val="008738FF"/>
    <w:rsid w:val="0087465F"/>
    <w:rsid w:val="00874A65"/>
    <w:rsid w:val="00874DED"/>
    <w:rsid w:val="0087710A"/>
    <w:rsid w:val="00880B83"/>
    <w:rsid w:val="00881238"/>
    <w:rsid w:val="00882696"/>
    <w:rsid w:val="00883B40"/>
    <w:rsid w:val="00883F3F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AAA"/>
    <w:rsid w:val="008B5B6A"/>
    <w:rsid w:val="008B7158"/>
    <w:rsid w:val="008B7386"/>
    <w:rsid w:val="008B7A49"/>
    <w:rsid w:val="008C13AA"/>
    <w:rsid w:val="008C1981"/>
    <w:rsid w:val="008C459B"/>
    <w:rsid w:val="008C5B15"/>
    <w:rsid w:val="008C5CDC"/>
    <w:rsid w:val="008C5D7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287"/>
    <w:rsid w:val="00943576"/>
    <w:rsid w:val="00943F95"/>
    <w:rsid w:val="0094499C"/>
    <w:rsid w:val="00944FAF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7BFF"/>
    <w:rsid w:val="009820E0"/>
    <w:rsid w:val="00983465"/>
    <w:rsid w:val="00983B75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2970"/>
    <w:rsid w:val="00A1361D"/>
    <w:rsid w:val="00A13DD5"/>
    <w:rsid w:val="00A144B2"/>
    <w:rsid w:val="00A15133"/>
    <w:rsid w:val="00A15E90"/>
    <w:rsid w:val="00A16B58"/>
    <w:rsid w:val="00A179BD"/>
    <w:rsid w:val="00A20838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901B3"/>
    <w:rsid w:val="00A92103"/>
    <w:rsid w:val="00A9333E"/>
    <w:rsid w:val="00A93AAB"/>
    <w:rsid w:val="00A93DC7"/>
    <w:rsid w:val="00A958FE"/>
    <w:rsid w:val="00A96A60"/>
    <w:rsid w:val="00A97BC8"/>
    <w:rsid w:val="00AA0A18"/>
    <w:rsid w:val="00AA17FC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78D"/>
    <w:rsid w:val="00AD3B4C"/>
    <w:rsid w:val="00AD4573"/>
    <w:rsid w:val="00AD51E3"/>
    <w:rsid w:val="00AD5950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269D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1710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730"/>
    <w:rsid w:val="00BC1EF1"/>
    <w:rsid w:val="00BC2216"/>
    <w:rsid w:val="00BC2461"/>
    <w:rsid w:val="00BC262C"/>
    <w:rsid w:val="00BC28E3"/>
    <w:rsid w:val="00BC4EB3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F0680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487B"/>
    <w:rsid w:val="00BF6914"/>
    <w:rsid w:val="00BF7AA8"/>
    <w:rsid w:val="00C007D0"/>
    <w:rsid w:val="00C0135E"/>
    <w:rsid w:val="00C02421"/>
    <w:rsid w:val="00C025A6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073E7"/>
    <w:rsid w:val="00C10EAE"/>
    <w:rsid w:val="00C12AD3"/>
    <w:rsid w:val="00C12F2B"/>
    <w:rsid w:val="00C13742"/>
    <w:rsid w:val="00C13B3B"/>
    <w:rsid w:val="00C1457A"/>
    <w:rsid w:val="00C14917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25A"/>
    <w:rsid w:val="00C22B40"/>
    <w:rsid w:val="00C22C3A"/>
    <w:rsid w:val="00C23700"/>
    <w:rsid w:val="00C239C6"/>
    <w:rsid w:val="00C24509"/>
    <w:rsid w:val="00C248BE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7134"/>
    <w:rsid w:val="00C37B13"/>
    <w:rsid w:val="00C40E98"/>
    <w:rsid w:val="00C414C2"/>
    <w:rsid w:val="00C42021"/>
    <w:rsid w:val="00C42605"/>
    <w:rsid w:val="00C4273F"/>
    <w:rsid w:val="00C42817"/>
    <w:rsid w:val="00C430EC"/>
    <w:rsid w:val="00C43740"/>
    <w:rsid w:val="00C4517A"/>
    <w:rsid w:val="00C45812"/>
    <w:rsid w:val="00C45DAC"/>
    <w:rsid w:val="00C47927"/>
    <w:rsid w:val="00C47B69"/>
    <w:rsid w:val="00C50ED6"/>
    <w:rsid w:val="00C519CE"/>
    <w:rsid w:val="00C51C7E"/>
    <w:rsid w:val="00C5219B"/>
    <w:rsid w:val="00C53646"/>
    <w:rsid w:val="00C53E8C"/>
    <w:rsid w:val="00C5489B"/>
    <w:rsid w:val="00C5499B"/>
    <w:rsid w:val="00C557EB"/>
    <w:rsid w:val="00C576E3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FE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6816"/>
    <w:rsid w:val="00D07176"/>
    <w:rsid w:val="00D10CE2"/>
    <w:rsid w:val="00D129D8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C32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E33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4E3E"/>
    <w:rsid w:val="00D751A3"/>
    <w:rsid w:val="00D75736"/>
    <w:rsid w:val="00D7587E"/>
    <w:rsid w:val="00D76CAC"/>
    <w:rsid w:val="00D775E3"/>
    <w:rsid w:val="00D77C1D"/>
    <w:rsid w:val="00D802D9"/>
    <w:rsid w:val="00D805B4"/>
    <w:rsid w:val="00D80933"/>
    <w:rsid w:val="00D81293"/>
    <w:rsid w:val="00D822C9"/>
    <w:rsid w:val="00D83074"/>
    <w:rsid w:val="00D83232"/>
    <w:rsid w:val="00D8349F"/>
    <w:rsid w:val="00D850BA"/>
    <w:rsid w:val="00D85461"/>
    <w:rsid w:val="00D85EA4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A6726"/>
    <w:rsid w:val="00DB1308"/>
    <w:rsid w:val="00DB1348"/>
    <w:rsid w:val="00DB159E"/>
    <w:rsid w:val="00DB292D"/>
    <w:rsid w:val="00DB4045"/>
    <w:rsid w:val="00DB4BE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4888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694A"/>
    <w:rsid w:val="00E17178"/>
    <w:rsid w:val="00E176E6"/>
    <w:rsid w:val="00E20127"/>
    <w:rsid w:val="00E207BA"/>
    <w:rsid w:val="00E214E0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4490"/>
    <w:rsid w:val="00E55605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70922"/>
    <w:rsid w:val="00E713F3"/>
    <w:rsid w:val="00E71B75"/>
    <w:rsid w:val="00E723BC"/>
    <w:rsid w:val="00E736FD"/>
    <w:rsid w:val="00E753FE"/>
    <w:rsid w:val="00E758E8"/>
    <w:rsid w:val="00E778E1"/>
    <w:rsid w:val="00E803CB"/>
    <w:rsid w:val="00E81188"/>
    <w:rsid w:val="00E81777"/>
    <w:rsid w:val="00E81A3C"/>
    <w:rsid w:val="00E82904"/>
    <w:rsid w:val="00E847DB"/>
    <w:rsid w:val="00E84BD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7E30"/>
    <w:rsid w:val="00EA0486"/>
    <w:rsid w:val="00EA077A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6B6"/>
    <w:rsid w:val="00EC4D33"/>
    <w:rsid w:val="00EC58EA"/>
    <w:rsid w:val="00EC6028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DB5"/>
    <w:rsid w:val="00F20D38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523"/>
    <w:rsid w:val="00F26928"/>
    <w:rsid w:val="00F271D7"/>
    <w:rsid w:val="00F30009"/>
    <w:rsid w:val="00F303A5"/>
    <w:rsid w:val="00F30AD9"/>
    <w:rsid w:val="00F30F13"/>
    <w:rsid w:val="00F315EA"/>
    <w:rsid w:val="00F317B6"/>
    <w:rsid w:val="00F319C6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1B4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2C13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8B5"/>
    <w:rsid w:val="00FE19C4"/>
    <w:rsid w:val="00FE59E6"/>
    <w:rsid w:val="00FE77DA"/>
    <w:rsid w:val="00FE7882"/>
    <w:rsid w:val="00FF034B"/>
    <w:rsid w:val="00FF0C73"/>
    <w:rsid w:val="00FF1534"/>
    <w:rsid w:val="00FF1654"/>
    <w:rsid w:val="00FF1677"/>
    <w:rsid w:val="00FF200F"/>
    <w:rsid w:val="00FF260F"/>
    <w:rsid w:val="00FF2D81"/>
    <w:rsid w:val="00FF31BA"/>
    <w:rsid w:val="00FF3F27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0DB1D-4662-4A6A-99A6-88B8FCD0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6071</TotalTime>
  <Pages>5</Pages>
  <Words>1818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94</cp:revision>
  <cp:lastPrinted>2021-12-10T20:45:00Z</cp:lastPrinted>
  <dcterms:created xsi:type="dcterms:W3CDTF">2022-03-07T12:56:00Z</dcterms:created>
  <dcterms:modified xsi:type="dcterms:W3CDTF">2022-11-21T17:43:00Z</dcterms:modified>
</cp:coreProperties>
</file>