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9356E" w:rsidRPr="006817F5" w:rsidRDefault="0099356E" w:rsidP="0099356E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>PORTARIA PRESIDENCIAL N°</w:t>
      </w:r>
      <w:r>
        <w:rPr>
          <w:rFonts w:ascii="Times New Roman" w:hAnsi="Times New Roman"/>
        </w:rPr>
        <w:t xml:space="preserve"> </w:t>
      </w:r>
      <w:r w:rsidR="00F550D1">
        <w:rPr>
          <w:rFonts w:ascii="Times New Roman" w:hAnsi="Times New Roman"/>
        </w:rPr>
        <w:t>52</w:t>
      </w:r>
      <w:r>
        <w:rPr>
          <w:rFonts w:ascii="Times New Roman" w:hAnsi="Times New Roman"/>
        </w:rPr>
        <w:t xml:space="preserve">, </w:t>
      </w:r>
      <w:r w:rsidRPr="002664FD">
        <w:rPr>
          <w:rFonts w:ascii="Times New Roman" w:hAnsi="Times New Roman"/>
        </w:rPr>
        <w:t xml:space="preserve">DE </w:t>
      </w:r>
      <w:r w:rsidR="00F0623A">
        <w:rPr>
          <w:rFonts w:ascii="Times New Roman" w:hAnsi="Times New Roman"/>
        </w:rPr>
        <w:t>1</w:t>
      </w:r>
      <w:r w:rsidR="00F550D1">
        <w:rPr>
          <w:rFonts w:ascii="Times New Roman" w:hAnsi="Times New Roman"/>
        </w:rPr>
        <w:t>4</w:t>
      </w:r>
      <w:r w:rsidRPr="002664FD">
        <w:rPr>
          <w:rFonts w:ascii="Times New Roman" w:hAnsi="Times New Roman"/>
        </w:rPr>
        <w:t xml:space="preserve"> DE </w:t>
      </w:r>
      <w:r w:rsidR="00F0623A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2021</w:t>
      </w:r>
    </w:p>
    <w:p w:rsidR="0099356E" w:rsidRPr="006817F5" w:rsidRDefault="0099356E" w:rsidP="0099356E">
      <w:pPr>
        <w:jc w:val="both"/>
        <w:rPr>
          <w:rFonts w:ascii="Times New Roman" w:hAnsi="Times New Roman"/>
        </w:rPr>
      </w:pPr>
    </w:p>
    <w:p w:rsidR="0099356E" w:rsidRPr="006817F5" w:rsidRDefault="0099356E" w:rsidP="0099356E">
      <w:pPr>
        <w:ind w:start="212.65pt"/>
        <w:jc w:val="both"/>
        <w:rPr>
          <w:rFonts w:ascii="Times New Roman" w:hAnsi="Times New Roman"/>
        </w:rPr>
      </w:pPr>
    </w:p>
    <w:p w:rsidR="0099356E" w:rsidRDefault="00F0623A" w:rsidP="0099356E">
      <w:pPr>
        <w:pStyle w:val="Textopadro"/>
        <w:ind w:start="290.60pt"/>
        <w:jc w:val="both"/>
      </w:pPr>
      <w:r>
        <w:t>Nomeia empregada do CAU/RS como Pregoeira</w:t>
      </w:r>
      <w:r w:rsidR="0099356E">
        <w:t xml:space="preserve"> e dá outras providências. </w:t>
      </w:r>
    </w:p>
    <w:p w:rsidR="0099356E" w:rsidRDefault="0099356E" w:rsidP="0099356E">
      <w:pPr>
        <w:pStyle w:val="Textopadro"/>
        <w:jc w:val="end"/>
      </w:pPr>
    </w:p>
    <w:p w:rsidR="0099356E" w:rsidRDefault="0099356E" w:rsidP="0099356E">
      <w:pPr>
        <w:pStyle w:val="Textopadro"/>
        <w:jc w:val="end"/>
      </w:pPr>
    </w:p>
    <w:p w:rsidR="0099356E" w:rsidRDefault="0099356E" w:rsidP="0099356E">
      <w:pPr>
        <w:pStyle w:val="Textopadro"/>
        <w:jc w:val="both"/>
      </w:pPr>
      <w: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>
        <w:t>arts</w:t>
      </w:r>
      <w:proofErr w:type="spellEnd"/>
      <w:r>
        <w:t>. 151, inciso XLV, e 152 do Regimento Interno do CAU/RS, após análise do assunto em epígrafe;</w:t>
      </w:r>
    </w:p>
    <w:p w:rsidR="0099356E" w:rsidRDefault="0099356E" w:rsidP="0099356E">
      <w:pPr>
        <w:pStyle w:val="Textopadro"/>
        <w:jc w:val="both"/>
      </w:pPr>
    </w:p>
    <w:p w:rsidR="0099356E" w:rsidRDefault="00F0623A" w:rsidP="0099356E">
      <w:pPr>
        <w:pStyle w:val="Textopadro"/>
        <w:jc w:val="both"/>
      </w:pPr>
      <w:r>
        <w:t>Considerando a Lei 10.520 de</w:t>
      </w:r>
      <w:r w:rsidR="0099356E">
        <w:t xml:space="preserve"> 17/07/</w:t>
      </w:r>
      <w:r>
        <w:t>2002 e o Decreto nº 10.024/2019</w:t>
      </w:r>
      <w:r w:rsidR="0099356E">
        <w:t xml:space="preserve"> de 23/09/2019; </w:t>
      </w:r>
    </w:p>
    <w:p w:rsidR="007B37D4" w:rsidRDefault="007B37D4" w:rsidP="0099356E">
      <w:pPr>
        <w:pStyle w:val="Textopadro"/>
        <w:jc w:val="both"/>
      </w:pPr>
    </w:p>
    <w:p w:rsidR="007B37D4" w:rsidRDefault="007B37D4" w:rsidP="0099356E">
      <w:pPr>
        <w:pStyle w:val="Textopadro"/>
        <w:jc w:val="both"/>
      </w:pPr>
      <w:r>
        <w:t>Considerando a necessidade transitória de apoio à equipe de pregão pelo período de 3 (três) meses;</w:t>
      </w:r>
    </w:p>
    <w:p w:rsidR="007B37D4" w:rsidRDefault="007B37D4" w:rsidP="0099356E">
      <w:pPr>
        <w:pStyle w:val="Textopadro"/>
        <w:jc w:val="both"/>
      </w:pPr>
    </w:p>
    <w:p w:rsidR="007B37D4" w:rsidRDefault="007B37D4" w:rsidP="0099356E">
      <w:pPr>
        <w:pStyle w:val="Textopadro"/>
        <w:jc w:val="both"/>
      </w:pPr>
      <w:r>
        <w:t>Considerando a recomendação jurídica de que a designação não ultrapasse o período estritamente necessário para normalização das atividades;</w:t>
      </w:r>
    </w:p>
    <w:p w:rsidR="005C62A7" w:rsidRDefault="005C62A7" w:rsidP="0099356E">
      <w:pPr>
        <w:pStyle w:val="Textopadro"/>
        <w:jc w:val="both"/>
      </w:pPr>
    </w:p>
    <w:p w:rsidR="005C62A7" w:rsidRDefault="005C62A7" w:rsidP="0099356E">
      <w:pPr>
        <w:pStyle w:val="Textopadro"/>
        <w:jc w:val="both"/>
      </w:pPr>
      <w:r>
        <w:t>Considerando o melhor interesse público de manutenção das atividades de licitações de forma ininterrupta;</w:t>
      </w:r>
    </w:p>
    <w:p w:rsidR="00F14064" w:rsidRDefault="00F14064" w:rsidP="0099356E">
      <w:pPr>
        <w:pStyle w:val="Textopadro"/>
        <w:jc w:val="both"/>
      </w:pP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Considerando que o Tribunal de Contas da União veda a cumulação da remuneração de cargo em comissão ou função gratificada, com gratificação por função de confiança ou outras instituídas em razão de condições excepcionais de serviço, tais como a gratificação de pregoeiro; </w:t>
      </w: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 </w:t>
      </w: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Considerando-se que, na hipótese de cumulação de funções, deve o empregado público optar pela mais vantajosa; </w:t>
      </w:r>
    </w:p>
    <w:p w:rsidR="00F14064" w:rsidRDefault="00F14064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 xml:space="preserve">RESOLVE: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  <w:r>
        <w:t>Art. 1º Designar como Pregoeir</w:t>
      </w:r>
      <w:r w:rsidR="00F0623A">
        <w:t>a do CAU/RS a</w:t>
      </w:r>
      <w:r>
        <w:t xml:space="preserve"> empregad</w:t>
      </w:r>
      <w:r w:rsidR="00F0623A">
        <w:t>a</w:t>
      </w:r>
      <w:r>
        <w:t xml:space="preserve"> </w:t>
      </w:r>
      <w:r w:rsidR="00B018AF">
        <w:t>Cheila da Silva Chagas</w:t>
      </w:r>
      <w:r>
        <w:t xml:space="preserve">, matrícula nº </w:t>
      </w:r>
      <w:r w:rsidR="00B018AF">
        <w:t>22</w:t>
      </w:r>
      <w:r>
        <w:t xml:space="preserve">, </w:t>
      </w:r>
      <w:r w:rsidR="00F0623A">
        <w:t xml:space="preserve">pelo período de 3 (três) meses, </w:t>
      </w:r>
      <w:r>
        <w:t xml:space="preserve">podendo </w:t>
      </w:r>
      <w:r w:rsidR="00F0623A">
        <w:t>também</w:t>
      </w:r>
      <w:r>
        <w:t xml:space="preserve"> atuar na equipe de apoio. </w:t>
      </w:r>
    </w:p>
    <w:p w:rsidR="00F14064" w:rsidRDefault="00F14064" w:rsidP="0099356E">
      <w:pPr>
        <w:pStyle w:val="Textopadro"/>
        <w:jc w:val="both"/>
      </w:pPr>
    </w:p>
    <w:p w:rsidR="00F14064" w:rsidRPr="00F14064" w:rsidRDefault="00F14064" w:rsidP="00F14064">
      <w:pPr>
        <w:pStyle w:val="textopadro0"/>
        <w:jc w:val="both"/>
        <w:rPr>
          <w:rFonts w:eastAsia="Times New Roman"/>
          <w:szCs w:val="20"/>
        </w:rPr>
      </w:pPr>
      <w:r w:rsidRPr="00F14064">
        <w:rPr>
          <w:rFonts w:eastAsia="Times New Roman"/>
          <w:szCs w:val="20"/>
        </w:rPr>
        <w:t>Art. 2° Não será devida a gratificação de pregoeiro. </w:t>
      </w:r>
    </w:p>
    <w:p w:rsidR="0099356E" w:rsidRDefault="0099356E" w:rsidP="0099356E">
      <w:pPr>
        <w:pStyle w:val="Textopadro"/>
        <w:jc w:val="both"/>
      </w:pPr>
    </w:p>
    <w:p w:rsidR="0099356E" w:rsidRDefault="00F14064" w:rsidP="0099356E">
      <w:pPr>
        <w:pStyle w:val="Textopadro"/>
        <w:jc w:val="both"/>
      </w:pPr>
      <w:r>
        <w:t>Art. 3</w:t>
      </w:r>
      <w:r w:rsidR="0099356E">
        <w:t xml:space="preserve">º Esta Portaria entra em vigor na data de sua publicação no seu sítio eletrônico. </w:t>
      </w:r>
    </w:p>
    <w:p w:rsidR="0099356E" w:rsidRDefault="0099356E" w:rsidP="0099356E">
      <w:pPr>
        <w:pStyle w:val="Textopadro"/>
        <w:jc w:val="both"/>
      </w:pPr>
    </w:p>
    <w:p w:rsidR="0099356E" w:rsidRDefault="0099356E" w:rsidP="0099356E">
      <w:pPr>
        <w:pStyle w:val="Textopadro"/>
        <w:jc w:val="both"/>
      </w:pPr>
    </w:p>
    <w:p w:rsidR="0099356E" w:rsidRPr="00C75632" w:rsidRDefault="0099356E" w:rsidP="0099356E">
      <w:pPr>
        <w:pStyle w:val="Textopadro"/>
        <w:ind w:start="35.40pt" w:firstLine="35.40pt"/>
        <w:jc w:val="both"/>
      </w:pPr>
      <w:r w:rsidRPr="006817F5">
        <w:rPr>
          <w:szCs w:val="24"/>
        </w:rPr>
        <w:t xml:space="preserve">Porto Alegre </w:t>
      </w:r>
      <w:r>
        <w:rPr>
          <w:szCs w:val="24"/>
        </w:rPr>
        <w:t>–</w:t>
      </w:r>
      <w:r w:rsidRPr="006817F5">
        <w:rPr>
          <w:szCs w:val="24"/>
        </w:rPr>
        <w:t xml:space="preserve"> RS, </w:t>
      </w:r>
      <w:r w:rsidRPr="002664FD">
        <w:t xml:space="preserve">de </w:t>
      </w:r>
      <w:r>
        <w:t>1</w:t>
      </w:r>
      <w:r w:rsidR="00F550D1">
        <w:t>4</w:t>
      </w:r>
      <w:r w:rsidRPr="002664FD">
        <w:t xml:space="preserve"> de </w:t>
      </w:r>
      <w:r w:rsidR="00F0623A">
        <w:t>junho</w:t>
      </w:r>
      <w:r>
        <w:t xml:space="preserve"> de 2021</w:t>
      </w:r>
      <w:r w:rsidRPr="006817F5">
        <w:rPr>
          <w:szCs w:val="24"/>
        </w:rPr>
        <w:t>.</w:t>
      </w: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Default="0099356E" w:rsidP="0099356E">
      <w:pPr>
        <w:pStyle w:val="Textopadro"/>
        <w:jc w:val="center"/>
        <w:rPr>
          <w:szCs w:val="24"/>
        </w:rPr>
      </w:pPr>
    </w:p>
    <w:p w:rsidR="0099356E" w:rsidRPr="00414A3A" w:rsidRDefault="0099356E" w:rsidP="0099356E">
      <w:pPr>
        <w:pStyle w:val="Textopadro"/>
        <w:jc w:val="center"/>
        <w:rPr>
          <w:szCs w:val="24"/>
        </w:rPr>
      </w:pPr>
    </w:p>
    <w:p w:rsidR="0099356E" w:rsidRPr="006817F5" w:rsidRDefault="00F0623A" w:rsidP="0099356E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EVELISE JAIME DE MENEZES</w:t>
      </w:r>
    </w:p>
    <w:p w:rsidR="0062031C" w:rsidRPr="00F14064" w:rsidRDefault="0099356E" w:rsidP="00F1406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Presidente </w:t>
      </w:r>
      <w:r w:rsidR="00F0623A">
        <w:rPr>
          <w:szCs w:val="24"/>
        </w:rPr>
        <w:t xml:space="preserve">Interina </w:t>
      </w:r>
      <w:r w:rsidRPr="006817F5">
        <w:rPr>
          <w:szCs w:val="24"/>
        </w:rPr>
        <w:t>do CAU/RS</w:t>
      </w:r>
    </w:p>
    <w:sectPr w:rsidR="0062031C" w:rsidRPr="00F14064" w:rsidSect="00F14064">
      <w:headerReference w:type="even" r:id="rId8"/>
      <w:headerReference w:type="default" r:id="rId9"/>
      <w:footerReference w:type="even" r:id="rId10"/>
      <w:footerReference w:type="default" r:id="rId11"/>
      <w:type w:val="continuous"/>
      <w:pgSz w:w="595pt" w:h="842pt"/>
      <w:pgMar w:top="99.25pt" w:right="70.50pt" w:bottom="70.90pt" w:left="85.05pt" w:header="70.85pt" w:footer="28.35pt" w:gutter="0pt"/>
      <w:cols w:space="35.45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255216" w:rsidRDefault="00255216">
      <w:r>
        <w:separator/>
      </w:r>
    </w:p>
  </w:endnote>
  <w:endnote w:type="continuationSeparator" w:id="0">
    <w:p w:rsidR="00255216" w:rsidRDefault="002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381432" w:rsidRDefault="008B0962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1.30pt" w:end="-11.05pt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216pt"/>
        <w:tab w:val="clear" w:pos="432pt"/>
        <w:tab w:val="start" w:pos="91pt"/>
      </w:tabs>
      <w:spacing w:line="14.40pt" w:lineRule="auto"/>
      <w:ind w:start="-21.30pt" w:end="-11.05pt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FB755A" w:rsidRPr="001F028B" w:rsidRDefault="00FB755A" w:rsidP="00514857">
    <w:pPr>
      <w:pStyle w:val="Rodap"/>
      <w:spacing w:after="5pt" w:afterAutospacing="1" w:line="13.80pt" w:lineRule="auto"/>
      <w:ind w:start="-85.05pt" w:end="-70.50pt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start="-35.45pt" w:end="-14.25pt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255216" w:rsidRDefault="00255216">
      <w:r>
        <w:separator/>
      </w:r>
    </w:p>
  </w:footnote>
  <w:footnote w:type="continuationSeparator" w:id="0">
    <w:p w:rsidR="00255216" w:rsidRDefault="00255216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9E4E5A" w:rsidRDefault="00CE605F" w:rsidP="008B0962">
    <w:pPr>
      <w:pStyle w:val="Cabealho"/>
      <w:ind w:start="29.35pt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0843EC5" wp14:editId="7C68E1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79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EA01F2D" wp14:editId="3FD8F15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.385%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8B0962" w:rsidRPr="009E4E5A" w:rsidRDefault="004E77F9" w:rsidP="008B0962">
    <w:pPr>
      <w:pStyle w:val="Cabealho"/>
      <w:ind w:start="29.35p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0B06BD5" wp14:editId="0B258533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start"/>
      <w:pPr>
        <w:ind w:start="54pt" w:hanging="18pt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start"/>
      <w:pPr>
        <w:ind w:start="90pt" w:hanging="18pt"/>
      </w:pPr>
    </w:lvl>
    <w:lvl w:ilvl="2" w:tplc="0416001B">
      <w:start w:val="1"/>
      <w:numFmt w:val="lowerRoman"/>
      <w:lvlText w:val="%3."/>
      <w:lvlJc w:val="end"/>
      <w:pPr>
        <w:ind w:start="126pt" w:hanging="9pt"/>
      </w:pPr>
    </w:lvl>
    <w:lvl w:ilvl="3" w:tplc="0416000F">
      <w:start w:val="1"/>
      <w:numFmt w:val="decimal"/>
      <w:lvlText w:val="%4."/>
      <w:lvlJc w:val="start"/>
      <w:pPr>
        <w:ind w:start="162pt" w:hanging="18pt"/>
      </w:pPr>
    </w:lvl>
    <w:lvl w:ilvl="4" w:tplc="04160019">
      <w:start w:val="1"/>
      <w:numFmt w:val="lowerLetter"/>
      <w:lvlText w:val="%5."/>
      <w:lvlJc w:val="start"/>
      <w:pPr>
        <w:ind w:start="198pt" w:hanging="18pt"/>
      </w:pPr>
    </w:lvl>
    <w:lvl w:ilvl="5" w:tplc="0416001B">
      <w:start w:val="1"/>
      <w:numFmt w:val="lowerRoman"/>
      <w:lvlText w:val="%6."/>
      <w:lvlJc w:val="end"/>
      <w:pPr>
        <w:ind w:start="234pt" w:hanging="9pt"/>
      </w:pPr>
    </w:lvl>
    <w:lvl w:ilvl="6" w:tplc="0416000F">
      <w:start w:val="1"/>
      <w:numFmt w:val="decimal"/>
      <w:lvlText w:val="%7."/>
      <w:lvlJc w:val="start"/>
      <w:pPr>
        <w:ind w:start="270pt" w:hanging="18pt"/>
      </w:pPr>
    </w:lvl>
    <w:lvl w:ilvl="7" w:tplc="04160019">
      <w:start w:val="1"/>
      <w:numFmt w:val="lowerLetter"/>
      <w:lvlText w:val="%8."/>
      <w:lvlJc w:val="start"/>
      <w:pPr>
        <w:ind w:start="306pt" w:hanging="18pt"/>
      </w:pPr>
    </w:lvl>
    <w:lvl w:ilvl="8" w:tplc="0416001B">
      <w:start w:val="1"/>
      <w:numFmt w:val="lowerRoman"/>
      <w:lvlText w:val="%9."/>
      <w:lvlJc w:val="end"/>
      <w:pPr>
        <w:ind w:start="342pt" w:hanging="9pt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start"/>
      <w:pPr>
        <w:ind w:start="54pt" w:hanging="18pt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activeWritingStyle w:appName="MSWord" w:lang="pt-BR" w:vendorID="64" w:dllVersion="131078" w:nlCheck="1" w:checkStyle="0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name"/>
  <w:defaultTabStop w:val="36pt"/>
  <w:hyphenationZone w:val="21.25pt"/>
  <w:drawingGridHorizontalSpacing w:val="18pt"/>
  <w:drawingGridVerticalSpacing w:val="18pt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0947"/>
    <w:rsid w:val="00254F9E"/>
    <w:rsid w:val="00255216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558AC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C62A7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B37D4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1668"/>
    <w:rsid w:val="00986211"/>
    <w:rsid w:val="0099356E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18AF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1B25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0623A"/>
    <w:rsid w:val="00F120F5"/>
    <w:rsid w:val="00F14064"/>
    <w:rsid w:val="00F211ED"/>
    <w:rsid w:val="00F40DBA"/>
    <w:rsid w:val="00F455A6"/>
    <w:rsid w:val="00F4730B"/>
    <w:rsid w:val="00F5195D"/>
    <w:rsid w:val="00F534FE"/>
    <w:rsid w:val="00F550D1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62241766-5713-43C0-9328-7EC2AEA5FC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F81BD"/>
          <w:start w:val="nil"/>
          <w:bottom w:val="single" w:sz="8" w:space="0" w:color="4F81BD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start="35.40pt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textopadro0">
    <w:name w:val="textopadro"/>
    <w:basedOn w:val="Normal"/>
    <w:uiPriority w:val="99"/>
    <w:rsid w:val="00F14064"/>
    <w:rPr>
      <w:rFonts w:ascii="Times New Roman" w:eastAsiaTheme="minorEastAsia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31267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4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DD669A7-6FB2-4170-B3BE-8D1014776AC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266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Marcia Aparecida Rodrigues</cp:lastModifiedBy>
  <cp:revision>2</cp:revision>
  <cp:lastPrinted>2020-10-23T17:11:00Z</cp:lastPrinted>
  <dcterms:created xsi:type="dcterms:W3CDTF">2021-06-17T14:21:00Z</dcterms:created>
  <dcterms:modified xsi:type="dcterms:W3CDTF">2021-06-17T14:21:00Z</dcterms:modified>
</cp:coreProperties>
</file>