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C4503E">
              <w:rPr>
                <w:rFonts w:ascii="Calibri" w:hAnsi="Calibri" w:cs="Calibri"/>
                <w:bCs/>
                <w:lang w:eastAsia="pt-BR"/>
              </w:rPr>
              <w:t>1605268/2022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4503E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Ensino e Fo</w:t>
            </w:r>
            <w:r w:rsidR="00987FE3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mação (CEF-CAU/RS)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4503E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Ad Referendum - Diretrizes Curriculares Nacionais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C4503E">
        <w:rPr>
          <w:rFonts w:ascii="Calibri" w:hAnsi="Calibri" w:cs="Calibri"/>
          <w:lang w:eastAsia="pt-BR"/>
        </w:rPr>
        <w:t>1514/2022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C4503E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a Deliberação </w:t>
      </w:r>
      <w:r w:rsidRPr="00C4503E">
        <w:rPr>
          <w:rFonts w:ascii="Calibri" w:hAnsi="Calibri" w:cs="Calibri"/>
          <w:i/>
          <w:sz w:val="22"/>
          <w:lang w:eastAsia="pt-BR"/>
        </w:rPr>
        <w:t>ad referendum</w:t>
      </w:r>
      <w:r>
        <w:rPr>
          <w:rFonts w:ascii="Calibri" w:hAnsi="Calibri" w:cs="Calibri"/>
          <w:sz w:val="22"/>
          <w:lang w:eastAsia="pt-BR"/>
        </w:rPr>
        <w:t xml:space="preserve"> </w:t>
      </w:r>
      <w:r w:rsidR="00105D54">
        <w:rPr>
          <w:rFonts w:ascii="Calibri" w:hAnsi="Calibri" w:cs="Calibri"/>
          <w:sz w:val="22"/>
          <w:lang w:eastAsia="pt-BR"/>
        </w:rPr>
        <w:t xml:space="preserve">nº </w:t>
      </w:r>
      <w:r>
        <w:rPr>
          <w:rFonts w:ascii="Calibri" w:hAnsi="Calibri" w:cs="Calibri"/>
          <w:sz w:val="22"/>
          <w:lang w:eastAsia="pt-BR"/>
        </w:rPr>
        <w:t>008/2022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987FE3">
        <w:t xml:space="preserve"> </w:t>
      </w:r>
      <w:r w:rsidR="00987FE3" w:rsidRPr="00987FE3">
        <w:t>as atribuições confer</w:t>
      </w:r>
      <w:r w:rsidR="00987FE3">
        <w:t>idas ao Presidente do CAU/RS pel</w:t>
      </w:r>
      <w:r w:rsidR="00987FE3" w:rsidRPr="00987FE3">
        <w:t>o art. 35, inciso III, da Lei n° 12.378, de 31 de dez</w:t>
      </w:r>
      <w:r w:rsidR="00987FE3">
        <w:t xml:space="preserve">embro de 2010, e os artigos 56 e 151, </w:t>
      </w:r>
      <w:r w:rsidR="00987FE3" w:rsidRPr="00987FE3">
        <w:t>do Regimento Interno do CAU/RS</w:t>
      </w:r>
      <w:r w:rsidRPr="00C80214">
        <w:t xml:space="preserve">; </w:t>
      </w:r>
    </w:p>
    <w:p w:rsidR="003262D1" w:rsidRPr="00C80214" w:rsidRDefault="003262D1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987FE3">
        <w:rPr>
          <w:rFonts w:ascii="Calibri" w:hAnsi="Calibri" w:cs="Calibri"/>
        </w:rPr>
        <w:t xml:space="preserve"> a urgência de encaminhamento do tema, conforme debate iniciado na 135ª Reunião Plenária Ordinária, de 26 de agosto de 2022</w:t>
      </w:r>
      <w:r w:rsidRPr="00C80214">
        <w:rPr>
          <w:rFonts w:ascii="Calibri" w:hAnsi="Calibri" w:cs="Calibri"/>
        </w:rPr>
        <w:t>;</w:t>
      </w:r>
      <w:r w:rsidR="00987FE3">
        <w:rPr>
          <w:rFonts w:ascii="Calibri" w:hAnsi="Calibri" w:cs="Calibri"/>
        </w:rPr>
        <w:t xml:space="preserve"> e</w:t>
      </w:r>
    </w:p>
    <w:p w:rsidR="00987FE3" w:rsidRDefault="003262D1" w:rsidP="00501952">
      <w:pPr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987FE3">
        <w:rPr>
          <w:rFonts w:ascii="Calibri" w:hAnsi="Calibri" w:cs="Calibri"/>
        </w:rPr>
        <w:t xml:space="preserve"> a Deliberação CEF-CAU/RS nº 055/2022</w:t>
      </w:r>
      <w:r w:rsidR="00501952">
        <w:rPr>
          <w:rFonts w:ascii="Calibri" w:hAnsi="Calibri" w:cs="Calibri"/>
        </w:rPr>
        <w:t>, de 1 de setembro de 2022, que encaminhou proposta de ajustes às novas Diretrizes Curriculares Nacionais.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8B0FC5" w:rsidRPr="00C80214" w:rsidRDefault="00501952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Aprovar e homologar a Deliberação </w:t>
      </w:r>
      <w:r>
        <w:rPr>
          <w:rFonts w:ascii="Calibri" w:hAnsi="Calibri" w:cs="Calibri"/>
          <w:i/>
        </w:rPr>
        <w:t>ad referendum</w:t>
      </w:r>
      <w:r>
        <w:rPr>
          <w:rFonts w:ascii="Calibri" w:hAnsi="Calibri" w:cs="Calibri"/>
        </w:rPr>
        <w:t xml:space="preserve"> nº 008/2022</w:t>
      </w:r>
      <w:bookmarkStart w:id="6" w:name="_GoBack"/>
      <w:bookmarkEnd w:id="6"/>
      <w:r>
        <w:rPr>
          <w:rFonts w:ascii="Calibri" w:hAnsi="Calibri" w:cs="Calibri"/>
        </w:rPr>
        <w:t xml:space="preserve"> (Anexo I);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 w:rsidP="00501952">
      <w:pPr>
        <w:pStyle w:val="PargrafodaLista"/>
        <w:ind w:left="0" w:right="133"/>
        <w:rPr>
          <w:rFonts w:ascii="Calibri" w:hAnsi="Calibri" w:cs="Calibri"/>
        </w:rPr>
      </w:pPr>
    </w:p>
    <w:p w:rsidR="00507DD9" w:rsidRDefault="00ED7FDA" w:rsidP="00501952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1952" w:rsidRPr="00C80214" w:rsidRDefault="00501952" w:rsidP="00501952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1952" w:rsidRPr="00C80214" w:rsidRDefault="00501952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C4503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1514/2022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4503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1605268/2022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C4503E" w:rsidRDefault="00C4503E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50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C4503E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C4503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1514/2022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C4503E">
              <w:rPr>
                <w:rFonts w:asciiTheme="minorHAnsi" w:hAnsiTheme="minorHAnsi" w:cstheme="minorHAnsi"/>
                <w:sz w:val="20"/>
                <w:szCs w:val="22"/>
              </w:rPr>
              <w:t>Ad Referendum - Diretrizes Curriculares Nacionais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501952" w:rsidRDefault="00501952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01952" w:rsidRDefault="0050195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501952" w:rsidRDefault="00501952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  <w:sectPr w:rsidR="0050195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851" w:left="1701" w:header="1361" w:footer="227" w:gutter="0"/>
          <w:cols w:space="720"/>
          <w:formProt w:val="0"/>
          <w:titlePg/>
          <w:docGrid w:linePitch="326"/>
        </w:sectPr>
      </w:pPr>
    </w:p>
    <w:p w:rsidR="004F4077" w:rsidRPr="00501952" w:rsidRDefault="00501952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 w:rsidRPr="00501952"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>ANEXO I – Deliberação Plenária DPO-RS nº 1514/2022</w:t>
      </w:r>
    </w:p>
    <w:sectPr w:rsidR="004F4077" w:rsidRPr="00501952" w:rsidSect="00501952">
      <w:pgSz w:w="11906" w:h="16838"/>
      <w:pgMar w:top="2835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76" w:rsidRDefault="00A85676">
      <w:r>
        <w:separator/>
      </w:r>
    </w:p>
  </w:endnote>
  <w:endnote w:type="continuationSeparator" w:id="0">
    <w:p w:rsidR="00A85676" w:rsidRDefault="00A8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1952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3618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1952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85676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36181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8567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76" w:rsidRDefault="00A85676">
      <w:r>
        <w:separator/>
      </w:r>
    </w:p>
  </w:footnote>
  <w:footnote w:type="continuationSeparator" w:id="0">
    <w:p w:rsidR="00A85676" w:rsidRDefault="00A8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7228E"/>
    <w:rsid w:val="00105D54"/>
    <w:rsid w:val="0020210B"/>
    <w:rsid w:val="00225E96"/>
    <w:rsid w:val="00292FD6"/>
    <w:rsid w:val="002B156B"/>
    <w:rsid w:val="002E109D"/>
    <w:rsid w:val="003262D1"/>
    <w:rsid w:val="00332947"/>
    <w:rsid w:val="003A6EE1"/>
    <w:rsid w:val="004136E1"/>
    <w:rsid w:val="004A7853"/>
    <w:rsid w:val="004B0F35"/>
    <w:rsid w:val="004F4077"/>
    <w:rsid w:val="00501952"/>
    <w:rsid w:val="00507DD9"/>
    <w:rsid w:val="005C3926"/>
    <w:rsid w:val="0061151A"/>
    <w:rsid w:val="006264DF"/>
    <w:rsid w:val="00636181"/>
    <w:rsid w:val="00665E9D"/>
    <w:rsid w:val="0066618A"/>
    <w:rsid w:val="006A7BA1"/>
    <w:rsid w:val="00735525"/>
    <w:rsid w:val="0074549A"/>
    <w:rsid w:val="007662BA"/>
    <w:rsid w:val="00766FE1"/>
    <w:rsid w:val="007A1836"/>
    <w:rsid w:val="008B0FC5"/>
    <w:rsid w:val="008F050A"/>
    <w:rsid w:val="009007B0"/>
    <w:rsid w:val="009116E7"/>
    <w:rsid w:val="00987FE3"/>
    <w:rsid w:val="009C10DA"/>
    <w:rsid w:val="009F48A5"/>
    <w:rsid w:val="00A5451E"/>
    <w:rsid w:val="00A84B42"/>
    <w:rsid w:val="00A85676"/>
    <w:rsid w:val="00AB2898"/>
    <w:rsid w:val="00C4503E"/>
    <w:rsid w:val="00C80214"/>
    <w:rsid w:val="00CD4B3C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3B38-F121-4DDD-A162-825215BF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6</cp:revision>
  <cp:lastPrinted>2021-11-22T12:22:00Z</cp:lastPrinted>
  <dcterms:created xsi:type="dcterms:W3CDTF">2022-10-14T13:34:00Z</dcterms:created>
  <dcterms:modified xsi:type="dcterms:W3CDTF">2022-10-17T12:12:00Z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