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C42230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C42230">
            <w:pPr>
              <w:ind w:right="18"/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4102BE" w:rsidP="00B01DFC">
            <w:pPr>
              <w:ind w:right="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 SICCAU nº</w:t>
            </w:r>
            <w:bookmarkStart w:id="0" w:name="_GoBack"/>
            <w:bookmarkEnd w:id="0"/>
            <w:r w:rsidR="00C56B19">
              <w:t xml:space="preserve"> </w:t>
            </w:r>
            <w:r w:rsidR="00C56B19" w:rsidRPr="00C56B19">
              <w:rPr>
                <w:rFonts w:asciiTheme="minorHAnsi" w:hAnsiTheme="minorHAnsi" w:cstheme="minorHAnsi"/>
              </w:rPr>
              <w:t>1587158</w:t>
            </w:r>
            <w:r w:rsidR="008322DE">
              <w:rPr>
                <w:rFonts w:asciiTheme="minorHAnsi" w:hAnsiTheme="minorHAnsi" w:cstheme="minorHAnsi"/>
              </w:rPr>
              <w:t>/2022</w:t>
            </w:r>
          </w:p>
        </w:tc>
      </w:tr>
      <w:tr w:rsidR="004102BE" w:rsidRPr="000245F1" w:rsidTr="00C42230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02BE" w:rsidRPr="000245F1" w:rsidRDefault="004102BE" w:rsidP="00C42230">
            <w:pPr>
              <w:ind w:right="18"/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02BE" w:rsidRPr="000245F1" w:rsidRDefault="004327F7" w:rsidP="00C42230">
            <w:pPr>
              <w:widowControl w:val="0"/>
              <w:ind w:right="18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Comissão de Ética e Disciplina</w:t>
            </w:r>
          </w:p>
        </w:tc>
      </w:tr>
      <w:tr w:rsidR="004102BE" w:rsidRPr="000245F1" w:rsidTr="00C42230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02BE" w:rsidRPr="000245F1" w:rsidRDefault="004102BE" w:rsidP="00C42230">
            <w:pPr>
              <w:ind w:right="18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02BE" w:rsidRPr="00397287" w:rsidRDefault="004327F7" w:rsidP="00C42230">
            <w:pPr>
              <w:widowControl w:val="0"/>
              <w:ind w:right="18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</w:rPr>
              <w:t>Regulamento de Audiências</w:t>
            </w:r>
          </w:p>
        </w:tc>
      </w:tr>
    </w:tbl>
    <w:p w:rsidR="00CC4BED" w:rsidRPr="000245F1" w:rsidRDefault="00CC4BED" w:rsidP="00C42230">
      <w:pPr>
        <w:pBdr>
          <w:top w:val="single" w:sz="8" w:space="4" w:color="7F7F7F"/>
          <w:bottom w:val="single" w:sz="8" w:space="0" w:color="7F7F7F"/>
        </w:pBdr>
        <w:shd w:val="clear" w:color="auto" w:fill="F2F2F2"/>
        <w:ind w:right="18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8322DE">
        <w:rPr>
          <w:rFonts w:asciiTheme="minorHAnsi" w:hAnsiTheme="minorHAnsi" w:cstheme="minorHAnsi"/>
          <w:lang w:eastAsia="pt-BR"/>
        </w:rPr>
        <w:t>150</w:t>
      </w:r>
      <w:r w:rsidR="005D342E">
        <w:rPr>
          <w:rFonts w:asciiTheme="minorHAnsi" w:hAnsiTheme="minorHAnsi" w:cstheme="minorHAnsi"/>
          <w:lang w:eastAsia="pt-BR"/>
        </w:rPr>
        <w:t>9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4327F7" w:rsidRDefault="00CC4BED" w:rsidP="00C42230">
      <w:pPr>
        <w:tabs>
          <w:tab w:val="left" w:pos="1418"/>
        </w:tabs>
        <w:ind w:left="4820" w:right="18"/>
        <w:jc w:val="both"/>
        <w:rPr>
          <w:rFonts w:asciiTheme="minorHAnsi" w:hAnsiTheme="minorHAnsi" w:cstheme="minorHAnsi"/>
        </w:rPr>
      </w:pPr>
    </w:p>
    <w:p w:rsidR="008D6781" w:rsidRPr="004327F7" w:rsidRDefault="00B00AD9" w:rsidP="00C42230">
      <w:pPr>
        <w:tabs>
          <w:tab w:val="left" w:pos="1418"/>
        </w:tabs>
        <w:ind w:left="5103" w:right="18"/>
        <w:jc w:val="both"/>
        <w:rPr>
          <w:rFonts w:asciiTheme="minorHAnsi" w:hAnsiTheme="minorHAnsi" w:cstheme="minorHAnsi"/>
          <w:sz w:val="22"/>
        </w:rPr>
      </w:pPr>
      <w:r w:rsidRPr="004327F7">
        <w:rPr>
          <w:rFonts w:asciiTheme="minorHAnsi" w:hAnsiTheme="minorHAnsi" w:cstheme="minorHAnsi"/>
          <w:sz w:val="22"/>
          <w:lang w:eastAsia="pt-BR"/>
        </w:rPr>
        <w:t>Regulamenta as hipóteses de cancelamento de audiência de conciliação ou de instrução designadas em processos ético-disciplinares e dá outras providências</w:t>
      </w:r>
      <w:r w:rsidRPr="004327F7">
        <w:rPr>
          <w:rFonts w:asciiTheme="minorHAnsi" w:hAnsiTheme="minorHAnsi" w:cstheme="minorHAnsi"/>
          <w:sz w:val="22"/>
        </w:rPr>
        <w:t>.</w:t>
      </w:r>
    </w:p>
    <w:p w:rsidR="00A25E4E" w:rsidRPr="004327F7" w:rsidRDefault="00A25E4E" w:rsidP="00C42230">
      <w:pPr>
        <w:tabs>
          <w:tab w:val="left" w:pos="1418"/>
        </w:tabs>
        <w:ind w:left="6372" w:right="18"/>
        <w:jc w:val="both"/>
        <w:rPr>
          <w:rFonts w:asciiTheme="minorHAnsi" w:hAnsiTheme="minorHAnsi" w:cstheme="minorHAnsi"/>
        </w:rPr>
      </w:pPr>
    </w:p>
    <w:p w:rsidR="00ED7FDA" w:rsidRPr="008D6781" w:rsidRDefault="00ED7FDA" w:rsidP="00C42230">
      <w:pPr>
        <w:tabs>
          <w:tab w:val="left" w:pos="3544"/>
        </w:tabs>
        <w:spacing w:after="120"/>
        <w:ind w:right="18"/>
        <w:jc w:val="both"/>
        <w:rPr>
          <w:rFonts w:asciiTheme="minorHAnsi" w:hAnsiTheme="minorHAnsi" w:cstheme="minorHAnsi"/>
          <w:lang w:eastAsia="pt-BR"/>
        </w:rPr>
      </w:pPr>
      <w:r w:rsidRPr="008D6781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8D6781">
        <w:rPr>
          <w:rFonts w:asciiTheme="minorHAnsi" w:hAnsiTheme="minorHAnsi" w:cstheme="minorHAnsi"/>
          <w:lang w:eastAsia="pt-BR"/>
        </w:rPr>
        <w:t>Fecomércio</w:t>
      </w:r>
      <w:proofErr w:type="spellEnd"/>
      <w:r w:rsidRPr="008D6781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8322DE">
        <w:rPr>
          <w:rFonts w:asciiTheme="minorHAnsi" w:hAnsiTheme="minorHAnsi" w:cstheme="minorHAnsi"/>
          <w:lang w:eastAsia="pt-BR"/>
        </w:rPr>
        <w:t>26 de agosto</w:t>
      </w:r>
      <w:r w:rsidR="001A2002" w:rsidRPr="008D6781">
        <w:rPr>
          <w:rFonts w:asciiTheme="minorHAnsi" w:hAnsiTheme="minorHAnsi" w:cstheme="minorHAnsi"/>
          <w:lang w:eastAsia="pt-BR"/>
        </w:rPr>
        <w:t xml:space="preserve"> </w:t>
      </w:r>
      <w:r w:rsidRPr="008D6781">
        <w:rPr>
          <w:rFonts w:asciiTheme="minorHAnsi" w:hAnsiTheme="minorHAnsi" w:cstheme="minorHAnsi"/>
          <w:lang w:eastAsia="pt-BR"/>
        </w:rPr>
        <w:t>de 202</w:t>
      </w:r>
      <w:r w:rsidR="0020210B" w:rsidRPr="008D6781">
        <w:rPr>
          <w:rFonts w:asciiTheme="minorHAnsi" w:hAnsiTheme="minorHAnsi" w:cstheme="minorHAnsi"/>
          <w:lang w:eastAsia="pt-BR"/>
        </w:rPr>
        <w:t>2</w:t>
      </w:r>
      <w:r w:rsidRPr="008D6781">
        <w:rPr>
          <w:rFonts w:asciiTheme="minorHAnsi" w:hAnsiTheme="minorHAnsi" w:cstheme="minorHAnsi"/>
          <w:lang w:eastAsia="pt-BR"/>
        </w:rPr>
        <w:t>, após análise do assunto em epígrafe, e</w:t>
      </w:r>
    </w:p>
    <w:p w:rsidR="00B00AD9" w:rsidRPr="00B00AD9" w:rsidRDefault="004327F7" w:rsidP="00C42230">
      <w:pPr>
        <w:tabs>
          <w:tab w:val="left" w:pos="3544"/>
        </w:tabs>
        <w:spacing w:after="120"/>
        <w:ind w:right="18"/>
        <w:jc w:val="both"/>
        <w:rPr>
          <w:rFonts w:asciiTheme="minorHAnsi" w:hAnsiTheme="minorHAnsi" w:cstheme="minorHAnsi"/>
          <w:lang w:eastAsia="pt-BR"/>
        </w:rPr>
      </w:pPr>
      <w:r w:rsidRPr="00B00AD9">
        <w:rPr>
          <w:rFonts w:asciiTheme="minorHAnsi" w:hAnsiTheme="minorHAnsi" w:cstheme="minorHAnsi"/>
          <w:lang w:eastAsia="pt-BR"/>
        </w:rPr>
        <w:t xml:space="preserve">Considerando </w:t>
      </w:r>
      <w:r w:rsidR="00B00AD9" w:rsidRPr="00B00AD9">
        <w:rPr>
          <w:rFonts w:asciiTheme="minorHAnsi" w:hAnsiTheme="minorHAnsi" w:cstheme="minorHAnsi"/>
          <w:lang w:eastAsia="pt-BR"/>
        </w:rPr>
        <w:t>as disposições do art. 5º, LIV, LV e LX, da Constituição Federal, que estabelecem as garantias fundamentais do devido processo legal, do contraditório e da ampla defesa, bem como da publicidade como regra nos atos processuais;</w:t>
      </w:r>
    </w:p>
    <w:p w:rsidR="00B00AD9" w:rsidRPr="00B00AD9" w:rsidRDefault="004327F7" w:rsidP="00C42230">
      <w:pPr>
        <w:tabs>
          <w:tab w:val="left" w:pos="3544"/>
        </w:tabs>
        <w:spacing w:after="120"/>
        <w:ind w:right="18"/>
        <w:jc w:val="both"/>
        <w:rPr>
          <w:rFonts w:asciiTheme="minorHAnsi" w:hAnsiTheme="minorHAnsi" w:cstheme="minorHAnsi"/>
          <w:lang w:eastAsia="pt-BR"/>
        </w:rPr>
      </w:pPr>
      <w:r w:rsidRPr="00B00AD9">
        <w:rPr>
          <w:rFonts w:asciiTheme="minorHAnsi" w:hAnsiTheme="minorHAnsi" w:cstheme="minorHAnsi"/>
          <w:lang w:eastAsia="pt-BR"/>
        </w:rPr>
        <w:t xml:space="preserve">Considerando </w:t>
      </w:r>
      <w:r w:rsidR="00B00AD9" w:rsidRPr="00B00AD9">
        <w:rPr>
          <w:rFonts w:asciiTheme="minorHAnsi" w:hAnsiTheme="minorHAnsi" w:cstheme="minorHAnsi"/>
          <w:lang w:eastAsia="pt-BR"/>
        </w:rPr>
        <w:t>o disposto no art. 5º, inciso LXXVIII, da Constituição Federal, que assegura a razoável duração do processo judicial e os meios que garantam a celeridade de sua tramitação;</w:t>
      </w:r>
    </w:p>
    <w:p w:rsidR="00B00AD9" w:rsidRPr="00B00AD9" w:rsidRDefault="004327F7" w:rsidP="00C42230">
      <w:pPr>
        <w:tabs>
          <w:tab w:val="left" w:pos="3544"/>
        </w:tabs>
        <w:spacing w:after="120"/>
        <w:ind w:right="18"/>
        <w:jc w:val="both"/>
        <w:rPr>
          <w:rFonts w:asciiTheme="minorHAnsi" w:hAnsiTheme="minorHAnsi" w:cstheme="minorHAnsi"/>
          <w:lang w:eastAsia="pt-BR"/>
        </w:rPr>
      </w:pPr>
      <w:r w:rsidRPr="00B00AD9">
        <w:rPr>
          <w:rFonts w:asciiTheme="minorHAnsi" w:hAnsiTheme="minorHAnsi" w:cstheme="minorHAnsi"/>
          <w:lang w:eastAsia="pt-BR"/>
        </w:rPr>
        <w:t xml:space="preserve">Considerando </w:t>
      </w:r>
      <w:r w:rsidR="00B00AD9" w:rsidRPr="00B00AD9">
        <w:rPr>
          <w:rFonts w:asciiTheme="minorHAnsi" w:hAnsiTheme="minorHAnsi" w:cstheme="minorHAnsi"/>
          <w:lang w:eastAsia="pt-BR"/>
        </w:rPr>
        <w:t>o disposto na Deliberação Plenária DPO/RS nº 1.294/2021, que regulamenta, entre outros, a realização de audiências remotas de conciliação e instrução em processos ético-disciplinares;</w:t>
      </w:r>
    </w:p>
    <w:p w:rsidR="00B00AD9" w:rsidRPr="00B00AD9" w:rsidRDefault="004327F7" w:rsidP="00C42230">
      <w:pPr>
        <w:tabs>
          <w:tab w:val="left" w:pos="3544"/>
        </w:tabs>
        <w:spacing w:after="120"/>
        <w:ind w:right="18"/>
        <w:jc w:val="both"/>
        <w:rPr>
          <w:rFonts w:asciiTheme="minorHAnsi" w:hAnsiTheme="minorHAnsi" w:cstheme="minorHAnsi"/>
          <w:lang w:eastAsia="pt-BR"/>
        </w:rPr>
      </w:pPr>
      <w:r w:rsidRPr="00B00AD9">
        <w:rPr>
          <w:rFonts w:asciiTheme="minorHAnsi" w:hAnsiTheme="minorHAnsi" w:cstheme="minorHAnsi"/>
          <w:lang w:eastAsia="pt-BR"/>
        </w:rPr>
        <w:t xml:space="preserve">Considerando </w:t>
      </w:r>
      <w:r w:rsidR="00B00AD9" w:rsidRPr="00B00AD9">
        <w:rPr>
          <w:rFonts w:asciiTheme="minorHAnsi" w:hAnsiTheme="minorHAnsi" w:cstheme="minorHAnsi"/>
          <w:lang w:eastAsia="pt-BR"/>
        </w:rPr>
        <w:t>a necessidade de se realizar regulamentação complementar às normas da Resolução CAU/BR nº 143/2017, no que diz respeito à realização e ao cancelamento de audiências em processos ético-disciplinares;</w:t>
      </w:r>
    </w:p>
    <w:p w:rsidR="00B00AD9" w:rsidRDefault="004327F7" w:rsidP="00C42230">
      <w:pPr>
        <w:tabs>
          <w:tab w:val="left" w:pos="3544"/>
        </w:tabs>
        <w:spacing w:after="120"/>
        <w:ind w:right="18"/>
        <w:jc w:val="both"/>
        <w:rPr>
          <w:rFonts w:asciiTheme="minorHAnsi" w:hAnsiTheme="minorHAnsi" w:cstheme="minorHAnsi"/>
          <w:lang w:eastAsia="pt-BR"/>
        </w:rPr>
      </w:pPr>
      <w:r w:rsidRPr="00B00AD9">
        <w:rPr>
          <w:rFonts w:asciiTheme="minorHAnsi" w:hAnsiTheme="minorHAnsi" w:cstheme="minorHAnsi"/>
          <w:lang w:eastAsia="pt-BR"/>
        </w:rPr>
        <w:t xml:space="preserve">Considerando </w:t>
      </w:r>
      <w:r w:rsidR="00B00AD9" w:rsidRPr="00B00AD9">
        <w:rPr>
          <w:rFonts w:asciiTheme="minorHAnsi" w:hAnsiTheme="minorHAnsi" w:cstheme="minorHAnsi"/>
          <w:lang w:eastAsia="pt-BR"/>
        </w:rPr>
        <w:t>que a realização de audiências é medida voltada à conciliação ou à instrução de processos ético-disciplinares, condicionada à decisão fundamentada do conselheiro relator;</w:t>
      </w:r>
    </w:p>
    <w:p w:rsidR="00B00AD9" w:rsidRPr="00B00AD9" w:rsidRDefault="00B00AD9" w:rsidP="00C42230">
      <w:pPr>
        <w:tabs>
          <w:tab w:val="left" w:pos="3544"/>
        </w:tabs>
        <w:spacing w:after="120"/>
        <w:ind w:right="18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a Deliberação CED-CAU/RS n</w:t>
      </w:r>
      <w:r w:rsidRPr="00B00AD9">
        <w:rPr>
          <w:rFonts w:asciiTheme="minorHAnsi" w:hAnsiTheme="minorHAnsi" w:cstheme="minorHAnsi"/>
          <w:lang w:eastAsia="pt-BR"/>
        </w:rPr>
        <w:t>º 047/2022</w:t>
      </w:r>
      <w:r>
        <w:rPr>
          <w:rFonts w:asciiTheme="minorHAnsi" w:hAnsiTheme="minorHAnsi" w:cstheme="minorHAnsi"/>
          <w:lang w:eastAsia="pt-BR"/>
        </w:rPr>
        <w:t xml:space="preserve"> que propôs </w:t>
      </w:r>
      <w:r w:rsidRPr="00B00AD9">
        <w:rPr>
          <w:rFonts w:asciiTheme="minorHAnsi" w:hAnsiTheme="minorHAnsi" w:cstheme="minorHAnsi"/>
          <w:lang w:eastAsia="pt-BR"/>
        </w:rPr>
        <w:t>regulamenta</w:t>
      </w:r>
      <w:r>
        <w:rPr>
          <w:rFonts w:asciiTheme="minorHAnsi" w:hAnsiTheme="minorHAnsi" w:cstheme="minorHAnsi"/>
          <w:lang w:eastAsia="pt-BR"/>
        </w:rPr>
        <w:t>r</w:t>
      </w:r>
      <w:r w:rsidRPr="00B00AD9">
        <w:rPr>
          <w:rFonts w:asciiTheme="minorHAnsi" w:hAnsiTheme="minorHAnsi" w:cstheme="minorHAnsi"/>
          <w:lang w:eastAsia="pt-BR"/>
        </w:rPr>
        <w:t xml:space="preserve"> as hipóteses de cancelamento de audiência de conciliação ou de instrução designadas em processos ético-disciplinares.</w:t>
      </w:r>
    </w:p>
    <w:p w:rsidR="00452BEB" w:rsidRDefault="00452BEB" w:rsidP="00C42230">
      <w:pPr>
        <w:tabs>
          <w:tab w:val="left" w:pos="1418"/>
        </w:tabs>
        <w:ind w:right="18"/>
        <w:jc w:val="both"/>
        <w:rPr>
          <w:rFonts w:asciiTheme="minorHAnsi" w:hAnsiTheme="minorHAnsi" w:cstheme="minorHAnsi"/>
          <w:sz w:val="22"/>
          <w:szCs w:val="22"/>
        </w:rPr>
      </w:pPr>
    </w:p>
    <w:p w:rsidR="00AC106A" w:rsidRPr="008D6781" w:rsidRDefault="004F4077" w:rsidP="00C42230">
      <w:pPr>
        <w:ind w:right="18"/>
        <w:jc w:val="both"/>
        <w:rPr>
          <w:rFonts w:asciiTheme="minorHAnsi" w:hAnsiTheme="minorHAnsi" w:cstheme="minorHAnsi"/>
          <w:b/>
          <w:lang w:eastAsia="pt-BR"/>
        </w:rPr>
      </w:pPr>
      <w:r w:rsidRPr="008D6781">
        <w:rPr>
          <w:rFonts w:asciiTheme="minorHAnsi" w:hAnsiTheme="minorHAnsi" w:cstheme="minorHAnsi"/>
          <w:b/>
          <w:lang w:eastAsia="pt-BR"/>
        </w:rPr>
        <w:t>DELIBEROU</w:t>
      </w:r>
      <w:r w:rsidR="00766FE1" w:rsidRPr="008D6781">
        <w:rPr>
          <w:rFonts w:asciiTheme="minorHAnsi" w:hAnsiTheme="minorHAnsi" w:cstheme="minorHAnsi"/>
          <w:b/>
          <w:lang w:eastAsia="pt-BR"/>
        </w:rPr>
        <w:t xml:space="preserve"> por</w:t>
      </w:r>
      <w:r w:rsidRPr="008D6781">
        <w:rPr>
          <w:rFonts w:asciiTheme="minorHAnsi" w:hAnsiTheme="minorHAnsi" w:cstheme="minorHAnsi"/>
          <w:b/>
          <w:lang w:eastAsia="pt-BR"/>
        </w:rPr>
        <w:t>:</w:t>
      </w:r>
    </w:p>
    <w:p w:rsidR="00397287" w:rsidRDefault="00397287" w:rsidP="00C42230">
      <w:pPr>
        <w:pStyle w:val="PargrafodaLista"/>
        <w:ind w:right="18"/>
        <w:jc w:val="both"/>
        <w:rPr>
          <w:rStyle w:val="normaltextrun"/>
          <w:rFonts w:asciiTheme="minorHAnsi" w:hAnsiTheme="minorHAnsi" w:cstheme="minorHAnsi"/>
        </w:rPr>
      </w:pPr>
    </w:p>
    <w:p w:rsidR="00B00AD9" w:rsidRDefault="00B00AD9" w:rsidP="00C42230">
      <w:pPr>
        <w:pStyle w:val="PargrafodaLista"/>
        <w:numPr>
          <w:ilvl w:val="0"/>
          <w:numId w:val="19"/>
        </w:numPr>
        <w:suppressAutoHyphens/>
        <w:autoSpaceDN w:val="0"/>
        <w:spacing w:before="2" w:after="120"/>
        <w:ind w:right="18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Definir que compete ao conselheiro relator responsável pela condução do processo ético-disciplinar decidir, de modo fundamentado, sobre o cancelamento de audiência previamente designada:</w:t>
      </w:r>
    </w:p>
    <w:p w:rsidR="00B00AD9" w:rsidRDefault="00B00AD9" w:rsidP="00C42230">
      <w:pPr>
        <w:pStyle w:val="PargrafodaLista"/>
        <w:numPr>
          <w:ilvl w:val="1"/>
          <w:numId w:val="21"/>
        </w:numPr>
        <w:suppressAutoHyphens/>
        <w:autoSpaceDN w:val="0"/>
        <w:spacing w:before="2" w:after="120"/>
        <w:ind w:right="18" w:hanging="311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De ofício, nos casos em que </w:t>
      </w:r>
      <w:r w:rsidRPr="004B17A0">
        <w:rPr>
          <w:rFonts w:ascii="Calibri" w:hAnsi="Calibri" w:cs="Calibri"/>
        </w:rPr>
        <w:t>a análise das condutas e dos fatos constantes no processo independe de depoimentos ou provas testemunhais, ainda que solicitados pelas partes;</w:t>
      </w:r>
    </w:p>
    <w:p w:rsidR="00B00AD9" w:rsidRDefault="00B00AD9" w:rsidP="00C42230">
      <w:pPr>
        <w:pStyle w:val="PargrafodaLista"/>
        <w:numPr>
          <w:ilvl w:val="1"/>
          <w:numId w:val="21"/>
        </w:numPr>
        <w:suppressAutoHyphens/>
        <w:autoSpaceDN w:val="0"/>
        <w:spacing w:before="2" w:after="120"/>
        <w:ind w:right="18" w:hanging="311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Mediante requerimento</w:t>
      </w:r>
      <w:r w:rsidRPr="004B17A0">
        <w:rPr>
          <w:rFonts w:ascii="Calibri" w:hAnsi="Calibri" w:cs="Calibri"/>
        </w:rPr>
        <w:t>, encaminhado ao setor responsável pela assessoria operacional da CED-CAU/RS</w:t>
      </w:r>
      <w:r>
        <w:rPr>
          <w:rFonts w:ascii="Calibri" w:hAnsi="Calibri" w:cs="Calibri"/>
        </w:rPr>
        <w:t xml:space="preserve">, no máximo, </w:t>
      </w:r>
      <w:r w:rsidRPr="004B17A0">
        <w:rPr>
          <w:rFonts w:ascii="Calibri" w:hAnsi="Calibri" w:cs="Calibri"/>
        </w:rPr>
        <w:t xml:space="preserve">até </w:t>
      </w:r>
      <w:r>
        <w:rPr>
          <w:rFonts w:ascii="Calibri" w:hAnsi="Calibri" w:cs="Calibri"/>
        </w:rPr>
        <w:t>72</w:t>
      </w:r>
      <w:r w:rsidRPr="004B17A0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setenta e duas</w:t>
      </w:r>
      <w:r w:rsidRPr="004B17A0">
        <w:rPr>
          <w:rFonts w:ascii="Calibri" w:hAnsi="Calibri" w:cs="Calibri"/>
        </w:rPr>
        <w:t xml:space="preserve">) horas antes do horário designado, desde que as partes demonstrem – por meio dos respectivos comprovantes (conforme o </w:t>
      </w:r>
      <w:r w:rsidRPr="004B17A0">
        <w:rPr>
          <w:rFonts w:ascii="Calibri" w:hAnsi="Calibri" w:cs="Calibri"/>
        </w:rPr>
        <w:lastRenderedPageBreak/>
        <w:t>caso) – a ocorrência de</w:t>
      </w:r>
      <w:r>
        <w:rPr>
          <w:rFonts w:ascii="Calibri" w:hAnsi="Calibri" w:cs="Calibri"/>
        </w:rPr>
        <w:t xml:space="preserve"> </w:t>
      </w:r>
      <w:r w:rsidRPr="004B17A0">
        <w:rPr>
          <w:rFonts w:ascii="Calibri" w:hAnsi="Calibri" w:cs="Calibri"/>
        </w:rPr>
        <w:t>questão de saúde, previamente agendada, bem como situações que gerem a impossibilidade técnica ou instrumental de sua participação;</w:t>
      </w:r>
    </w:p>
    <w:p w:rsidR="00B00AD9" w:rsidRDefault="00B00AD9" w:rsidP="00C42230">
      <w:pPr>
        <w:pStyle w:val="PargrafodaLista"/>
        <w:numPr>
          <w:ilvl w:val="0"/>
          <w:numId w:val="19"/>
        </w:numPr>
        <w:suppressAutoHyphens/>
        <w:autoSpaceDN w:val="0"/>
        <w:spacing w:before="2" w:after="120"/>
        <w:ind w:right="18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Estabelecer que as questões pertinentes a impossibilidade de comparecimento das testemunhas arroladas pelas partes somente acarretará o cancelamento da audiência designada, nos casos em que o conselheiro relator entender, de modo fundamento, que o seu depoimento é imprescindível para formação de convicção acerca dos fatos e das condutas que são objeto do processo ético-disciplinar;</w:t>
      </w:r>
    </w:p>
    <w:p w:rsidR="00B00AD9" w:rsidRDefault="00B00AD9" w:rsidP="00C42230">
      <w:pPr>
        <w:pStyle w:val="PargrafodaLista"/>
        <w:numPr>
          <w:ilvl w:val="0"/>
          <w:numId w:val="19"/>
        </w:numPr>
        <w:suppressAutoHyphens/>
        <w:autoSpaceDN w:val="0"/>
        <w:spacing w:before="2" w:after="120"/>
        <w:ind w:right="18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Definir que a ocorrência de emergências</w:t>
      </w:r>
      <w:r>
        <w:rPr>
          <w:rStyle w:val="Refdenotaderodap"/>
          <w:rFonts w:ascii="Calibri" w:hAnsi="Calibri" w:cs="Calibri"/>
        </w:rPr>
        <w:footnoteReference w:id="1"/>
      </w:r>
      <w:r>
        <w:rPr>
          <w:rFonts w:ascii="Calibri" w:hAnsi="Calibri" w:cs="Calibri"/>
        </w:rPr>
        <w:t>, casos fortuitos ou força maior se constituem como causas que justificam a ausência em audiência já realizada, possibilitando a designação de nova data para o fim de colher os depoimentos e as provas testemunhais necessários, com o envio da devida justificativa, a ser encaminhada no prazo de até 72 (setenta e duas) horas após a realização da audiência, caso em que se deve oportunizar à parte denunciada a sua manifestação ao final da audiência, garantindo-se a ampla defesa e o contraditório;</w:t>
      </w:r>
    </w:p>
    <w:p w:rsidR="00B00AD9" w:rsidRDefault="00B00AD9" w:rsidP="00C42230">
      <w:pPr>
        <w:pStyle w:val="PargrafodaLista"/>
        <w:numPr>
          <w:ilvl w:val="0"/>
          <w:numId w:val="19"/>
        </w:numPr>
        <w:suppressAutoHyphens/>
        <w:autoSpaceDN w:val="0"/>
        <w:spacing w:before="2" w:after="120"/>
        <w:ind w:right="18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Informar que a inexistência de petição ou requerimento encaminhados no prazo máximo de até</w:t>
      </w:r>
      <w:r w:rsidRPr="004B17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72</w:t>
      </w:r>
      <w:r w:rsidRPr="004B17A0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setenta e duas</w:t>
      </w:r>
      <w:r w:rsidRPr="004B17A0">
        <w:rPr>
          <w:rFonts w:ascii="Calibri" w:hAnsi="Calibri" w:cs="Calibri"/>
        </w:rPr>
        <w:t>) horas antes do horário designado</w:t>
      </w:r>
      <w:r>
        <w:rPr>
          <w:rFonts w:ascii="Calibri" w:hAnsi="Calibri" w:cs="Calibri"/>
        </w:rPr>
        <w:t xml:space="preserve"> para realização da audiência, não afetará a sua realização na data e no horário designados, procedendo-se à colheita das provas apresentadas e à oitiva das partes e das testemunhas presentes, nos exatos termos da Resolução pertinente, sem prejuízo de eventual </w:t>
      </w:r>
      <w:proofErr w:type="spellStart"/>
      <w:r>
        <w:rPr>
          <w:rFonts w:ascii="Calibri" w:hAnsi="Calibri" w:cs="Calibri"/>
        </w:rPr>
        <w:t>redesignação</w:t>
      </w:r>
      <w:proofErr w:type="spellEnd"/>
      <w:r>
        <w:rPr>
          <w:rFonts w:ascii="Calibri" w:hAnsi="Calibri" w:cs="Calibri"/>
        </w:rPr>
        <w:t xml:space="preserve"> ou prosseguimento em razão de ausência relacionada a situações de emergência, caso fortuito ou força maior, devidamente comprovadas;</w:t>
      </w:r>
    </w:p>
    <w:p w:rsidR="00B00AD9" w:rsidRDefault="00B00AD9" w:rsidP="00C42230">
      <w:pPr>
        <w:pStyle w:val="PargrafodaLista"/>
        <w:numPr>
          <w:ilvl w:val="0"/>
          <w:numId w:val="19"/>
        </w:numPr>
        <w:suppressAutoHyphens/>
        <w:autoSpaceDN w:val="0"/>
        <w:spacing w:before="2" w:after="120"/>
        <w:ind w:right="18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Definir a necessidade de inclusão de parágrafo sobre o disposto na presente Deliberação, nos ofícios de intimação das partes para audiências;</w:t>
      </w:r>
    </w:p>
    <w:p w:rsidR="00EE5C93" w:rsidRPr="00EE5C93" w:rsidRDefault="00EE5C93" w:rsidP="00C42230">
      <w:pPr>
        <w:tabs>
          <w:tab w:val="left" w:pos="1418"/>
        </w:tabs>
        <w:ind w:right="18"/>
        <w:jc w:val="both"/>
        <w:rPr>
          <w:rStyle w:val="normaltextrun"/>
          <w:rFonts w:asciiTheme="minorHAnsi" w:hAnsiTheme="minorHAnsi" w:cstheme="minorHAnsi"/>
        </w:rPr>
      </w:pPr>
    </w:p>
    <w:p w:rsidR="00507DD9" w:rsidRPr="008D6781" w:rsidRDefault="004F4077" w:rsidP="00C42230">
      <w:pPr>
        <w:pStyle w:val="PargrafodaLista"/>
        <w:ind w:left="0" w:right="18"/>
        <w:jc w:val="both"/>
        <w:rPr>
          <w:rFonts w:asciiTheme="minorHAnsi" w:hAnsiTheme="minorHAnsi" w:cstheme="minorHAnsi"/>
          <w:u w:val="single"/>
          <w:lang w:eastAsia="pt-BR"/>
        </w:rPr>
      </w:pPr>
      <w:r w:rsidRPr="008D678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8D6781" w:rsidRDefault="009F48A5" w:rsidP="00C42230">
      <w:pPr>
        <w:pStyle w:val="PargrafodaLista"/>
        <w:tabs>
          <w:tab w:val="left" w:pos="3969"/>
        </w:tabs>
        <w:ind w:left="0" w:right="18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D37178" w:rsidRPr="00B8790D" w:rsidRDefault="00D37178" w:rsidP="00C42230">
      <w:pPr>
        <w:ind w:right="18"/>
        <w:jc w:val="both"/>
        <w:rPr>
          <w:rFonts w:asciiTheme="minorHAnsi" w:hAnsiTheme="minorHAnsi" w:cstheme="minorHAnsi"/>
        </w:rPr>
      </w:pPr>
      <w:r w:rsidRPr="00B8790D">
        <w:rPr>
          <w:rFonts w:asciiTheme="minorHAnsi" w:hAnsiTheme="minorHAnsi" w:cstheme="minorHAnsi"/>
          <w:color w:val="000000"/>
        </w:rPr>
        <w:t xml:space="preserve">Com 18 (dezoito) votos favoráveis, das conselheiras Andréa Larruscahim Hamilton Ilha, Deise Flores, Denise dos Santos Simões, Gislaine Vargas Saibro, Lidia Glacir Gomes Rodrigues, Marcia Elizabeth Martins e Silvia Monteiro </w:t>
      </w:r>
      <w:proofErr w:type="spellStart"/>
      <w:r w:rsidRPr="00B8790D">
        <w:rPr>
          <w:rFonts w:asciiTheme="minorHAnsi" w:hAnsiTheme="minorHAnsi" w:cstheme="minorHAnsi"/>
          <w:color w:val="000000"/>
        </w:rPr>
        <w:t>Barakat</w:t>
      </w:r>
      <w:proofErr w:type="spellEnd"/>
      <w:r w:rsidRPr="00B8790D">
        <w:rPr>
          <w:rFonts w:asciiTheme="minorHAnsi" w:hAnsiTheme="minorHAnsi" w:cstheme="minorHAnsi"/>
          <w:color w:val="000000"/>
        </w:rPr>
        <w:t xml:space="preserve"> </w:t>
      </w:r>
      <w:r w:rsidRPr="00B8790D">
        <w:rPr>
          <w:rFonts w:asciiTheme="minorHAnsi" w:hAnsiTheme="minorHAnsi" w:cstheme="minorHAnsi"/>
        </w:rPr>
        <w:t xml:space="preserve">e dos conselheiros Alexandre Giorgi, Carlos Eduardo Mesquita Pedone, Diego </w:t>
      </w:r>
      <w:proofErr w:type="spellStart"/>
      <w:r w:rsidRPr="00B8790D">
        <w:rPr>
          <w:rFonts w:asciiTheme="minorHAnsi" w:hAnsiTheme="minorHAnsi" w:cstheme="minorHAnsi"/>
        </w:rPr>
        <w:t>Bertoletti</w:t>
      </w:r>
      <w:proofErr w:type="spellEnd"/>
      <w:r w:rsidRPr="00B8790D">
        <w:rPr>
          <w:rFonts w:asciiTheme="minorHAnsi" w:hAnsiTheme="minorHAnsi" w:cstheme="minorHAnsi"/>
        </w:rPr>
        <w:t xml:space="preserve"> da Rocha, Emilio Merino Dominguez, Fábio Müller, Fausto Henrique Steffen, Pedro Xavier de Araújo, Rafael Ártico, Rinaldo Ferreira Barbosa, Rodrigo Spinelli e Valdir Bandeira Fiorentin; e 04 (quatro) ausências, das conselheiras Aline Pedroso da Croce, Magali </w:t>
      </w:r>
      <w:proofErr w:type="spellStart"/>
      <w:r w:rsidRPr="00B8790D">
        <w:rPr>
          <w:rFonts w:asciiTheme="minorHAnsi" w:hAnsiTheme="minorHAnsi" w:cstheme="minorHAnsi"/>
        </w:rPr>
        <w:t>Mingotti</w:t>
      </w:r>
      <w:proofErr w:type="spellEnd"/>
      <w:r w:rsidRPr="00B8790D">
        <w:rPr>
          <w:rFonts w:asciiTheme="minorHAnsi" w:hAnsiTheme="minorHAnsi" w:cstheme="minorHAnsi"/>
        </w:rPr>
        <w:t xml:space="preserve"> e Marisa Potter</w:t>
      </w:r>
      <w:r w:rsidRPr="00B8790D">
        <w:rPr>
          <w:rFonts w:asciiTheme="minorHAnsi" w:hAnsiTheme="minorHAnsi" w:cstheme="minorHAnsi"/>
          <w:color w:val="000000"/>
        </w:rPr>
        <w:t xml:space="preserve"> e do conselheiro </w:t>
      </w:r>
      <w:r w:rsidRPr="00B8790D">
        <w:rPr>
          <w:rFonts w:asciiTheme="minorHAnsi" w:hAnsiTheme="minorHAnsi" w:cstheme="minorHAnsi"/>
        </w:rPr>
        <w:t xml:space="preserve">Lucas Bernardes </w:t>
      </w:r>
      <w:proofErr w:type="spellStart"/>
      <w:r w:rsidRPr="00B8790D">
        <w:rPr>
          <w:rFonts w:asciiTheme="minorHAnsi" w:hAnsiTheme="minorHAnsi" w:cstheme="minorHAnsi"/>
        </w:rPr>
        <w:t>Volpatto</w:t>
      </w:r>
      <w:proofErr w:type="spellEnd"/>
      <w:r w:rsidRPr="00B8790D">
        <w:rPr>
          <w:rFonts w:asciiTheme="minorHAnsi" w:hAnsiTheme="minorHAnsi" w:cstheme="minorHAnsi"/>
        </w:rPr>
        <w:t>.</w:t>
      </w:r>
    </w:p>
    <w:p w:rsidR="00D37178" w:rsidRDefault="00D37178" w:rsidP="00C42230">
      <w:pPr>
        <w:ind w:right="18"/>
        <w:jc w:val="both"/>
        <w:rPr>
          <w:rFonts w:asciiTheme="minorHAnsi" w:hAnsiTheme="minorHAnsi" w:cstheme="minorHAnsi"/>
        </w:rPr>
      </w:pPr>
    </w:p>
    <w:p w:rsidR="00D37178" w:rsidRPr="00D734D4" w:rsidRDefault="00D37178" w:rsidP="00C42230">
      <w:pPr>
        <w:ind w:right="18"/>
        <w:jc w:val="center"/>
        <w:rPr>
          <w:rFonts w:asciiTheme="minorHAnsi" w:hAnsiTheme="minorHAnsi" w:cstheme="minorHAnsi"/>
        </w:rPr>
      </w:pPr>
      <w:r w:rsidRPr="00D734D4">
        <w:rPr>
          <w:rFonts w:asciiTheme="minorHAnsi" w:hAnsiTheme="minorHAnsi" w:cstheme="minorHAnsi"/>
        </w:rPr>
        <w:t>Porto Alegre – RS, 26 de agosto de 2022.</w:t>
      </w:r>
    </w:p>
    <w:p w:rsidR="00D37178" w:rsidRDefault="00D37178" w:rsidP="00C42230">
      <w:pPr>
        <w:ind w:right="18"/>
        <w:jc w:val="center"/>
        <w:rPr>
          <w:rFonts w:asciiTheme="minorHAnsi" w:hAnsiTheme="minorHAnsi" w:cstheme="minorHAnsi"/>
        </w:rPr>
      </w:pPr>
    </w:p>
    <w:p w:rsidR="00D37178" w:rsidRDefault="00D37178" w:rsidP="00C42230">
      <w:pPr>
        <w:ind w:right="18"/>
        <w:jc w:val="center"/>
        <w:rPr>
          <w:rFonts w:asciiTheme="minorHAnsi" w:hAnsiTheme="minorHAnsi" w:cstheme="minorHAnsi"/>
        </w:rPr>
      </w:pPr>
    </w:p>
    <w:p w:rsidR="00D37178" w:rsidRDefault="00D37178" w:rsidP="00C42230">
      <w:pPr>
        <w:ind w:right="18"/>
        <w:jc w:val="center"/>
        <w:rPr>
          <w:rFonts w:asciiTheme="minorHAnsi" w:hAnsiTheme="minorHAnsi" w:cstheme="minorHAnsi"/>
        </w:rPr>
      </w:pPr>
    </w:p>
    <w:p w:rsidR="00D37178" w:rsidRPr="00D734D4" w:rsidRDefault="00D37178" w:rsidP="00C42230">
      <w:pPr>
        <w:ind w:right="18"/>
        <w:jc w:val="center"/>
        <w:rPr>
          <w:rFonts w:asciiTheme="minorHAnsi" w:hAnsiTheme="minorHAnsi" w:cstheme="minorHAnsi"/>
        </w:rPr>
      </w:pPr>
    </w:p>
    <w:p w:rsidR="00D37178" w:rsidRPr="00D734D4" w:rsidRDefault="00D37178" w:rsidP="00C42230">
      <w:pPr>
        <w:ind w:right="18"/>
        <w:jc w:val="center"/>
        <w:rPr>
          <w:rFonts w:asciiTheme="minorHAnsi" w:hAnsiTheme="minorHAnsi" w:cstheme="minorHAnsi"/>
          <w:b/>
        </w:rPr>
      </w:pPr>
      <w:r w:rsidRPr="00D734D4">
        <w:rPr>
          <w:rFonts w:asciiTheme="minorHAnsi" w:hAnsiTheme="minorHAnsi" w:cstheme="minorHAnsi"/>
        </w:rPr>
        <w:tab/>
      </w:r>
      <w:r w:rsidRPr="00D734D4">
        <w:rPr>
          <w:rFonts w:asciiTheme="minorHAnsi" w:hAnsiTheme="minorHAnsi" w:cstheme="minorHAnsi"/>
          <w:b/>
        </w:rPr>
        <w:t xml:space="preserve">TIAGO HOLZMANN DA SILVA </w:t>
      </w:r>
      <w:r w:rsidRPr="00D734D4">
        <w:rPr>
          <w:rFonts w:asciiTheme="minorHAnsi" w:hAnsiTheme="minorHAnsi" w:cstheme="minorHAnsi"/>
          <w:b/>
        </w:rPr>
        <w:tab/>
      </w:r>
    </w:p>
    <w:p w:rsidR="00D37178" w:rsidRPr="00D734D4" w:rsidRDefault="00D37178" w:rsidP="00C42230">
      <w:pPr>
        <w:ind w:right="18"/>
        <w:jc w:val="center"/>
        <w:rPr>
          <w:rFonts w:asciiTheme="minorHAnsi" w:hAnsiTheme="minorHAnsi" w:cstheme="minorHAnsi"/>
        </w:rPr>
        <w:sectPr w:rsidR="00D37178" w:rsidRPr="00D734D4" w:rsidSect="00B8790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docGrid w:linePitch="326"/>
        </w:sectPr>
      </w:pPr>
      <w:r w:rsidRPr="00D734D4">
        <w:rPr>
          <w:rFonts w:asciiTheme="minorHAnsi" w:hAnsiTheme="minorHAnsi" w:cstheme="minorHAnsi"/>
        </w:rPr>
        <w:t>Presidente do CAU/RS</w:t>
      </w:r>
    </w:p>
    <w:p w:rsidR="00D37178" w:rsidRPr="002464BE" w:rsidRDefault="00D37178" w:rsidP="00D3717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2464BE">
        <w:rPr>
          <w:rFonts w:asciiTheme="minorHAnsi" w:hAnsiTheme="minorHAnsi" w:cstheme="minorHAnsi"/>
          <w:b/>
          <w:bCs/>
          <w:lang w:eastAsia="pt-BR"/>
        </w:rPr>
        <w:lastRenderedPageBreak/>
        <w:t>135ª REUNIÃO PLENÁRIA ORDINÁRIA DO CAU/RS</w:t>
      </w:r>
    </w:p>
    <w:p w:rsidR="00D37178" w:rsidRPr="002464BE" w:rsidRDefault="00D37178" w:rsidP="00D3717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 w:rsidRPr="002464BE">
        <w:rPr>
          <w:rFonts w:asciiTheme="minorHAnsi" w:hAnsiTheme="minorHAnsi" w:cstheme="minorHAnsi"/>
          <w:lang w:eastAsia="pt-BR"/>
        </w:rPr>
        <w:tab/>
      </w:r>
    </w:p>
    <w:tbl>
      <w:tblPr>
        <w:tblStyle w:val="TabelaSimples1"/>
        <w:tblW w:w="934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1269"/>
      </w:tblGrid>
      <w:tr w:rsidR="00D37178" w:rsidRPr="002464BE" w:rsidTr="002D1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D37178" w:rsidRPr="002464BE" w:rsidRDefault="00D37178" w:rsidP="002D1791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 xml:space="preserve">Votação da Deliberação Plenária DPO-RS nº </w:t>
            </w:r>
            <w:r w:rsidR="004327F7">
              <w:rPr>
                <w:rFonts w:asciiTheme="minorHAnsi" w:eastAsia="Times New Roman" w:hAnsiTheme="minorHAnsi" w:cstheme="minorHAnsi"/>
                <w:lang w:eastAsia="pt-BR"/>
              </w:rPr>
              <w:t>1509/</w:t>
            </w: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 xml:space="preserve">2022 - Protocolo nº </w:t>
            </w:r>
            <w:r w:rsidR="00C56B19" w:rsidRPr="00C56B19">
              <w:rPr>
                <w:rFonts w:asciiTheme="minorHAnsi" w:hAnsiTheme="minorHAnsi" w:cstheme="minorHAnsi"/>
              </w:rPr>
              <w:t>1587158</w:t>
            </w:r>
            <w:r w:rsidRPr="002464BE">
              <w:rPr>
                <w:rFonts w:asciiTheme="minorHAnsi" w:hAnsiTheme="minorHAnsi" w:cstheme="minorHAnsi"/>
                <w:lang w:eastAsia="pt-BR"/>
              </w:rPr>
              <w:t>/2022</w:t>
            </w:r>
          </w:p>
        </w:tc>
      </w:tr>
      <w:tr w:rsidR="00D37178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:rsidR="00D37178" w:rsidRPr="002464BE" w:rsidRDefault="00D37178" w:rsidP="002D1791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D37178" w:rsidRPr="002464BE" w:rsidRDefault="00D37178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Favorável</w:t>
            </w:r>
          </w:p>
        </w:tc>
        <w:tc>
          <w:tcPr>
            <w:tcW w:w="1275" w:type="dxa"/>
            <w:vAlign w:val="center"/>
          </w:tcPr>
          <w:p w:rsidR="00D37178" w:rsidRPr="002464BE" w:rsidRDefault="00D37178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Contrário</w:t>
            </w:r>
          </w:p>
        </w:tc>
        <w:tc>
          <w:tcPr>
            <w:tcW w:w="1276" w:type="dxa"/>
            <w:vAlign w:val="center"/>
          </w:tcPr>
          <w:p w:rsidR="00D37178" w:rsidRPr="002464BE" w:rsidRDefault="00D37178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D37178" w:rsidRPr="002464BE" w:rsidRDefault="00D37178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Ausência</w:t>
            </w:r>
          </w:p>
        </w:tc>
      </w:tr>
      <w:tr w:rsidR="00D37178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eastAsia="Times New Roman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37178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Aline Pedroso da Croce </w:t>
            </w:r>
          </w:p>
        </w:tc>
        <w:tc>
          <w:tcPr>
            <w:tcW w:w="1276" w:type="dxa"/>
            <w:vAlign w:val="center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 w:rsidRPr="002464BE">
              <w:rPr>
                <w:rFonts w:ascii="Calibri" w:eastAsia="Times New Roman" w:hAnsi="Calibri" w:cstheme="minorHAnsi"/>
              </w:rPr>
              <w:t>X</w:t>
            </w:r>
          </w:p>
        </w:tc>
      </w:tr>
      <w:tr w:rsidR="00D37178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37178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37178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Deise Flores</w:t>
            </w:r>
          </w:p>
        </w:tc>
        <w:tc>
          <w:tcPr>
            <w:tcW w:w="1276" w:type="dxa"/>
            <w:vAlign w:val="center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D37178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Denise dos Santos Simões </w:t>
            </w:r>
          </w:p>
        </w:tc>
        <w:tc>
          <w:tcPr>
            <w:tcW w:w="1276" w:type="dxa"/>
            <w:vAlign w:val="center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37178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Diego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Bertoletti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 xml:space="preserve"> da Rocha</w:t>
            </w: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37178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Emílio Merino Dominguez</w:t>
            </w: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37178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Fábio Müller </w:t>
            </w: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D37178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Fausto Henrique Steffen </w:t>
            </w: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37178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Gislaine Vargas Saibro </w:t>
            </w: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D37178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Lidia Glacir Gomes Rodrigues </w:t>
            </w: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D37178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Lucas Bernardes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Volpatto</w:t>
            </w:r>
            <w:proofErr w:type="spellEnd"/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D37178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Magali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Mingotti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> </w:t>
            </w: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D37178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Márcia Elizabeth Martins </w:t>
            </w: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D37178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Marisa Potter</w:t>
            </w:r>
          </w:p>
        </w:tc>
        <w:tc>
          <w:tcPr>
            <w:tcW w:w="1276" w:type="dxa"/>
            <w:vAlign w:val="center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D37178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Pedro Xavier de Araújo</w:t>
            </w: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37178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Rafael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Artico</w:t>
            </w:r>
            <w:proofErr w:type="spellEnd"/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37178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Rinaldo Ferreira Barbosa </w:t>
            </w: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37178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Rodrigo Spinelli </w:t>
            </w: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37178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Sílvia Monteiro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Barakat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> </w:t>
            </w: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D37178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D37178" w:rsidRPr="002464BE" w:rsidRDefault="00D37178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Valdir Bandeira Fiorentin</w:t>
            </w: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D37178" w:rsidRPr="002464BE" w:rsidRDefault="00D37178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37178" w:rsidRPr="009116E7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:rsidR="00D37178" w:rsidRPr="00A90A79" w:rsidRDefault="00D37178" w:rsidP="002D179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D37178" w:rsidRPr="00A90A79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D37178" w:rsidRPr="00A90A79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:rsidR="00D37178" w:rsidRPr="00A90A79" w:rsidRDefault="00D37178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D37178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D37178" w:rsidRPr="009116E7" w:rsidRDefault="00D37178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D37178" w:rsidRPr="009116E7" w:rsidRDefault="00D37178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D37178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D37178" w:rsidRPr="009116E7" w:rsidRDefault="00D37178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135</w:t>
            </w:r>
          </w:p>
          <w:p w:rsidR="00D37178" w:rsidRPr="009116E7" w:rsidRDefault="00D37178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D37178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D37178" w:rsidRPr="009116E7" w:rsidRDefault="00D37178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26/08/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2022 </w:t>
            </w:r>
          </w:p>
          <w:p w:rsidR="00D37178" w:rsidRPr="009116E7" w:rsidRDefault="00D37178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D37178" w:rsidRDefault="00D37178" w:rsidP="002D1791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327F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1509/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2022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4327F7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Regulamento de Audiências</w:t>
            </w:r>
            <w:r w:rsidRPr="00B00AD9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.</w:t>
            </w:r>
          </w:p>
          <w:p w:rsidR="00D37178" w:rsidRPr="009116E7" w:rsidRDefault="00D37178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D37178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D37178" w:rsidRPr="0086262D" w:rsidRDefault="00D37178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votação</w:t>
            </w:r>
            <w:r w:rsidRPr="0082374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: </w:t>
            </w:r>
            <w:r w:rsidRPr="00F436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(18) Ausências (04) Total (22)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D37178" w:rsidRPr="00871AD5" w:rsidRDefault="00D37178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D37178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D37178" w:rsidRPr="009116E7" w:rsidRDefault="00D37178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D37178" w:rsidRPr="009116E7" w:rsidRDefault="00D37178" w:rsidP="002D179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</w:tc>
      </w:tr>
      <w:tr w:rsidR="00D37178" w:rsidRPr="009116E7" w:rsidTr="002D179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D37178" w:rsidRPr="00322076" w:rsidRDefault="00D37178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D37178" w:rsidRPr="00322076" w:rsidRDefault="00D37178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Reunião: Tiago </w:t>
            </w:r>
            <w:proofErr w:type="spellStart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1E5" w:rsidRDefault="006551E5">
      <w:r>
        <w:separator/>
      </w:r>
    </w:p>
  </w:endnote>
  <w:endnote w:type="continuationSeparator" w:id="0">
    <w:p w:rsidR="006551E5" w:rsidRDefault="0065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178" w:rsidRDefault="00D3717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-442701008"/>
      <w:docPartObj>
        <w:docPartGallery w:val="Page Numbers (Bottom of Page)"/>
        <w:docPartUnique/>
      </w:docPartObj>
    </w:sdtPr>
    <w:sdtContent>
      <w:p w:rsidR="00D37178" w:rsidRDefault="00D37178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01DF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D37178" w:rsidRDefault="00D37178">
        <w:pPr>
          <w:pStyle w:val="Rodap"/>
          <w:ind w:left="-567"/>
          <w:rPr>
            <w:rFonts w:ascii="DaxCondensed" w:hAnsi="DaxCondensed" w:cs="Arial"/>
            <w:b/>
            <w:color w:val="2C778C"/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D37178" w:rsidRDefault="00D37178">
        <w:pPr>
          <w:pStyle w:val="Rodap"/>
          <w:ind w:left="-567"/>
          <w:rPr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178" w:rsidRDefault="00D3717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D37178" w:rsidRDefault="00D37178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45852698"/>
      <w:docPartObj>
        <w:docPartGallery w:val="Page Numbers (Bottom of Page)"/>
        <w:docPartUnique/>
      </w:docPartObj>
    </w:sdtPr>
    <w:sdtContent>
      <w:p w:rsidR="00D37178" w:rsidRDefault="00D37178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D37178" w:rsidRDefault="00D37178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00AD9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6551E5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01DF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6551E5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1E5" w:rsidRDefault="006551E5">
      <w:r>
        <w:separator/>
      </w:r>
    </w:p>
  </w:footnote>
  <w:footnote w:type="continuationSeparator" w:id="0">
    <w:p w:rsidR="006551E5" w:rsidRDefault="006551E5">
      <w:r>
        <w:continuationSeparator/>
      </w:r>
    </w:p>
  </w:footnote>
  <w:footnote w:id="1">
    <w:p w:rsidR="00B00AD9" w:rsidRPr="00FA18FB" w:rsidRDefault="00B00AD9" w:rsidP="00B00AD9">
      <w:pPr>
        <w:pStyle w:val="Textodenotaderodap"/>
        <w:jc w:val="both"/>
        <w:rPr>
          <w:rFonts w:asciiTheme="minorHAnsi" w:hAnsiTheme="minorHAnsi" w:cstheme="minorHAnsi"/>
        </w:rPr>
      </w:pPr>
      <w:r w:rsidRPr="00FA18FB">
        <w:rPr>
          <w:rStyle w:val="Refdenotaderodap"/>
          <w:rFonts w:asciiTheme="minorHAnsi" w:hAnsiTheme="minorHAnsi" w:cstheme="minorHAnsi"/>
        </w:rPr>
        <w:footnoteRef/>
      </w:r>
      <w:r w:rsidRPr="00FA18FB">
        <w:rPr>
          <w:rFonts w:asciiTheme="minorHAnsi" w:hAnsiTheme="minorHAnsi" w:cstheme="minorHAnsi"/>
        </w:rPr>
        <w:t xml:space="preserve"> Situações inevitáveis e imprevisíveis decorrentes de circunstâncias imediatas e urgentes, observando-se critérios de razoabilidade e proporcionalidade.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178" w:rsidRDefault="00D37178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63D54C6A" wp14:editId="08E17C64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17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178" w:rsidRDefault="00D37178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4D6DC1CC" wp14:editId="06B0952A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7178" w:rsidRDefault="00D37178">
    <w:pPr>
      <w:pStyle w:val="Cabealho"/>
      <w:jc w:val="right"/>
    </w:pPr>
  </w:p>
  <w:p w:rsidR="00D37178" w:rsidRDefault="00D37178">
    <w:pPr>
      <w:pStyle w:val="Cabealho"/>
      <w:jc w:val="right"/>
    </w:pPr>
  </w:p>
  <w:p w:rsidR="00D37178" w:rsidRDefault="00D37178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2008"/>
    <w:multiLevelType w:val="hybridMultilevel"/>
    <w:tmpl w:val="EB12CF04"/>
    <w:numStyleLink w:val="EstiloImportado1"/>
  </w:abstractNum>
  <w:abstractNum w:abstractNumId="2">
    <w:nsid w:val="20A639DC"/>
    <w:multiLevelType w:val="hybridMultilevel"/>
    <w:tmpl w:val="FDEAA8AC"/>
    <w:lvl w:ilvl="0" w:tplc="511872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60AA2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44FC36C4"/>
    <w:multiLevelType w:val="multilevel"/>
    <w:tmpl w:val="47EA4EE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05" w:hanging="405"/>
      </w:pPr>
      <w:rPr>
        <w:rFonts w:ascii="Calibri" w:eastAsia="Cambria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2"/>
  </w:num>
  <w:num w:numId="14">
    <w:abstractNumId w:val="16"/>
  </w:num>
  <w:num w:numId="15">
    <w:abstractNumId w:val="9"/>
  </w:num>
  <w:num w:numId="16">
    <w:abstractNumId w:val="0"/>
  </w:num>
  <w:num w:numId="17">
    <w:abstractNumId w:val="18"/>
  </w:num>
  <w:num w:numId="18">
    <w:abstractNumId w:val="4"/>
  </w:num>
  <w:num w:numId="19">
    <w:abstractNumId w:val="8"/>
  </w:num>
  <w:num w:numId="20">
    <w:abstractNumId w:val="13"/>
  </w:num>
  <w:num w:numId="21">
    <w:abstractNumId w:val="8"/>
    <w:lvlOverride w:ilvl="0">
      <w:lvl w:ilvl="0">
        <w:start w:val="1"/>
        <w:numFmt w:val="decimal"/>
        <w:lvlText w:val="%1."/>
        <w:lvlJc w:val="left"/>
        <w:pPr>
          <w:ind w:left="405" w:hanging="40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37" w:hanging="737"/>
        </w:pPr>
        <w:rPr>
          <w:rFonts w:ascii="Calibri" w:eastAsia="Cambria" w:hAnsi="Calibri" w:cs="Calibri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B621A"/>
    <w:rsid w:val="0013101F"/>
    <w:rsid w:val="00183A3D"/>
    <w:rsid w:val="001A2002"/>
    <w:rsid w:val="001E2D03"/>
    <w:rsid w:val="0020210B"/>
    <w:rsid w:val="00225E96"/>
    <w:rsid w:val="002317CB"/>
    <w:rsid w:val="00274BF8"/>
    <w:rsid w:val="00286789"/>
    <w:rsid w:val="00292FD6"/>
    <w:rsid w:val="00305CBC"/>
    <w:rsid w:val="003262D1"/>
    <w:rsid w:val="00332947"/>
    <w:rsid w:val="003523FC"/>
    <w:rsid w:val="00392B9A"/>
    <w:rsid w:val="00397287"/>
    <w:rsid w:val="003A6EE1"/>
    <w:rsid w:val="003B530C"/>
    <w:rsid w:val="003D3CC3"/>
    <w:rsid w:val="004102BE"/>
    <w:rsid w:val="004129B1"/>
    <w:rsid w:val="004136E1"/>
    <w:rsid w:val="00421D3E"/>
    <w:rsid w:val="004250EB"/>
    <w:rsid w:val="004327F7"/>
    <w:rsid w:val="00452BEB"/>
    <w:rsid w:val="00464F56"/>
    <w:rsid w:val="004921EE"/>
    <w:rsid w:val="004A7853"/>
    <w:rsid w:val="004B0F35"/>
    <w:rsid w:val="004F4077"/>
    <w:rsid w:val="00507DD9"/>
    <w:rsid w:val="005406C5"/>
    <w:rsid w:val="00574BE9"/>
    <w:rsid w:val="00594DD0"/>
    <w:rsid w:val="005C18E0"/>
    <w:rsid w:val="005C3926"/>
    <w:rsid w:val="005D342E"/>
    <w:rsid w:val="005D3430"/>
    <w:rsid w:val="0061151A"/>
    <w:rsid w:val="006264DF"/>
    <w:rsid w:val="006551E5"/>
    <w:rsid w:val="00665E9D"/>
    <w:rsid w:val="0066618A"/>
    <w:rsid w:val="006F5074"/>
    <w:rsid w:val="006F72F5"/>
    <w:rsid w:val="00735525"/>
    <w:rsid w:val="00741A3F"/>
    <w:rsid w:val="0074549A"/>
    <w:rsid w:val="00766FE1"/>
    <w:rsid w:val="007A1836"/>
    <w:rsid w:val="008037A5"/>
    <w:rsid w:val="0082374C"/>
    <w:rsid w:val="008322DE"/>
    <w:rsid w:val="00844FAA"/>
    <w:rsid w:val="0086262D"/>
    <w:rsid w:val="00863CC9"/>
    <w:rsid w:val="00871AD5"/>
    <w:rsid w:val="008B0FC5"/>
    <w:rsid w:val="008B4296"/>
    <w:rsid w:val="008D4EAD"/>
    <w:rsid w:val="008D6781"/>
    <w:rsid w:val="00904C0A"/>
    <w:rsid w:val="009116E7"/>
    <w:rsid w:val="00936FB1"/>
    <w:rsid w:val="009F48A5"/>
    <w:rsid w:val="009F7A5C"/>
    <w:rsid w:val="00A25E4E"/>
    <w:rsid w:val="00A5451E"/>
    <w:rsid w:val="00A57067"/>
    <w:rsid w:val="00A71A38"/>
    <w:rsid w:val="00A90A79"/>
    <w:rsid w:val="00AB2898"/>
    <w:rsid w:val="00AB3628"/>
    <w:rsid w:val="00AC106A"/>
    <w:rsid w:val="00B00AD9"/>
    <w:rsid w:val="00B01DFC"/>
    <w:rsid w:val="00B80B09"/>
    <w:rsid w:val="00BC12AE"/>
    <w:rsid w:val="00C42230"/>
    <w:rsid w:val="00C56B19"/>
    <w:rsid w:val="00CC4BED"/>
    <w:rsid w:val="00CD4B3C"/>
    <w:rsid w:val="00D37178"/>
    <w:rsid w:val="00DB4439"/>
    <w:rsid w:val="00E22F50"/>
    <w:rsid w:val="00E5615B"/>
    <w:rsid w:val="00E65E3D"/>
    <w:rsid w:val="00E66813"/>
    <w:rsid w:val="00EC4204"/>
    <w:rsid w:val="00ED14A2"/>
    <w:rsid w:val="00ED4BBC"/>
    <w:rsid w:val="00ED7FDA"/>
    <w:rsid w:val="00EE0389"/>
    <w:rsid w:val="00EE061E"/>
    <w:rsid w:val="00EE5C93"/>
    <w:rsid w:val="00F44056"/>
    <w:rsid w:val="00F70A8E"/>
    <w:rsid w:val="00F95ADD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8D6781"/>
  </w:style>
  <w:style w:type="paragraph" w:customStyle="1" w:styleId="paragraph">
    <w:name w:val="paragraph"/>
    <w:basedOn w:val="Normal"/>
    <w:rsid w:val="008D678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notaderodap">
    <w:name w:val="footnote reference"/>
    <w:basedOn w:val="Fontepargpadro"/>
    <w:semiHidden/>
    <w:unhideWhenUsed/>
    <w:rsid w:val="00B00A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7F44B-11FE-4E2F-B4A5-60D3DA73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983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11</cp:revision>
  <cp:lastPrinted>2022-08-31T16:20:00Z</cp:lastPrinted>
  <dcterms:created xsi:type="dcterms:W3CDTF">2022-08-20T16:23:00Z</dcterms:created>
  <dcterms:modified xsi:type="dcterms:W3CDTF">2022-08-31T16:20:00Z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