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113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45"/>
        <w:gridCol w:w="7211"/>
      </w:tblGrid>
      <w:tr w:rsidR="00CC4BED" w:rsidRPr="002D59DE" w:rsidTr="002D59DE">
        <w:trPr>
          <w:cantSplit/>
          <w:trHeight w:val="283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2D59DE" w:rsidRDefault="00CC4BED" w:rsidP="002D59DE">
            <w:pPr>
              <w:ind w:right="33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2D59DE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2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2D59DE" w:rsidRDefault="004102BE" w:rsidP="002D59DE">
            <w:pPr>
              <w:ind w:right="33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 xml:space="preserve">Protocolo SICCAU nº </w:t>
            </w:r>
            <w:r w:rsidR="00464F56" w:rsidRPr="002D59DE">
              <w:rPr>
                <w:rFonts w:asciiTheme="minorHAnsi" w:hAnsiTheme="minorHAnsi" w:cstheme="minorHAnsi"/>
              </w:rPr>
              <w:t>1595989</w:t>
            </w:r>
            <w:r w:rsidR="008322DE" w:rsidRPr="002D59DE">
              <w:rPr>
                <w:rFonts w:asciiTheme="minorHAnsi" w:hAnsiTheme="minorHAnsi" w:cstheme="minorHAnsi"/>
              </w:rPr>
              <w:t>/2022</w:t>
            </w:r>
          </w:p>
        </w:tc>
      </w:tr>
      <w:tr w:rsidR="004102BE" w:rsidRPr="002D59DE" w:rsidTr="002D59DE">
        <w:trPr>
          <w:cantSplit/>
          <w:trHeight w:val="283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2D59DE" w:rsidRDefault="004102BE" w:rsidP="002D59DE">
            <w:pPr>
              <w:ind w:right="33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2D59DE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2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2D59DE" w:rsidRDefault="00464F56" w:rsidP="002D59DE">
            <w:pPr>
              <w:widowControl w:val="0"/>
              <w:ind w:right="33"/>
              <w:rPr>
                <w:rFonts w:asciiTheme="minorHAnsi" w:hAnsiTheme="minorHAnsi" w:cstheme="minorHAnsi"/>
                <w:bCs/>
                <w:lang w:eastAsia="pt-BR"/>
              </w:rPr>
            </w:pPr>
            <w:r w:rsidRPr="002D59DE">
              <w:rPr>
                <w:rFonts w:asciiTheme="minorHAnsi" w:hAnsiTheme="minorHAnsi" w:cstheme="minorHAnsi"/>
                <w:bCs/>
                <w:lang w:eastAsia="pt-BR"/>
              </w:rPr>
              <w:t>C</w:t>
            </w:r>
            <w:r w:rsidR="002D59DE" w:rsidRPr="002D59DE">
              <w:rPr>
                <w:rFonts w:asciiTheme="minorHAnsi" w:hAnsiTheme="minorHAnsi" w:cstheme="minorHAnsi"/>
                <w:bCs/>
                <w:lang w:eastAsia="pt-BR"/>
              </w:rPr>
              <w:t xml:space="preserve">omissão de </w:t>
            </w:r>
            <w:r w:rsidRPr="002D59DE">
              <w:rPr>
                <w:rFonts w:asciiTheme="minorHAnsi" w:hAnsiTheme="minorHAnsi" w:cstheme="minorHAnsi"/>
                <w:bCs/>
                <w:lang w:eastAsia="pt-BR"/>
              </w:rPr>
              <w:t>E</w:t>
            </w:r>
            <w:r w:rsidR="002D59DE" w:rsidRPr="002D59DE">
              <w:rPr>
                <w:rFonts w:asciiTheme="minorHAnsi" w:hAnsiTheme="minorHAnsi" w:cstheme="minorHAnsi"/>
                <w:bCs/>
                <w:lang w:eastAsia="pt-BR"/>
              </w:rPr>
              <w:t xml:space="preserve">nsino </w:t>
            </w:r>
            <w:r w:rsidRPr="002D59DE">
              <w:rPr>
                <w:rFonts w:asciiTheme="minorHAnsi" w:hAnsiTheme="minorHAnsi" w:cstheme="minorHAnsi"/>
                <w:bCs/>
                <w:lang w:eastAsia="pt-BR"/>
              </w:rPr>
              <w:t>F</w:t>
            </w:r>
            <w:r w:rsidR="002D59DE" w:rsidRPr="002D59DE">
              <w:rPr>
                <w:rFonts w:asciiTheme="minorHAnsi" w:hAnsiTheme="minorHAnsi" w:cstheme="minorHAnsi"/>
                <w:bCs/>
                <w:lang w:eastAsia="pt-BR"/>
              </w:rPr>
              <w:t xml:space="preserve">ormação </w:t>
            </w:r>
            <w:r w:rsidRPr="002D59DE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 w:rsidR="002D59DE" w:rsidRPr="002D59DE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4102BE" w:rsidRPr="002D59DE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4102BE" w:rsidRPr="002D59DE" w:rsidTr="002D59DE">
        <w:trPr>
          <w:cantSplit/>
          <w:trHeight w:val="276"/>
        </w:trPr>
        <w:tc>
          <w:tcPr>
            <w:tcW w:w="214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2D59DE" w:rsidRDefault="004102BE" w:rsidP="002D59DE">
            <w:pPr>
              <w:ind w:right="33"/>
              <w:rPr>
                <w:rFonts w:asciiTheme="minorHAnsi" w:hAnsiTheme="minorHAnsi" w:cstheme="minorHAnsi"/>
                <w:lang w:eastAsia="pt-BR"/>
              </w:rPr>
            </w:pPr>
            <w:r w:rsidRPr="002D59DE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2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2D59DE" w:rsidRDefault="00B46DED" w:rsidP="002D59DE">
            <w:pPr>
              <w:widowControl w:val="0"/>
              <w:ind w:right="33"/>
              <w:jc w:val="both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</w:rPr>
              <w:t>Diretrizes Curriculares Nacionais</w:t>
            </w:r>
          </w:p>
        </w:tc>
      </w:tr>
    </w:tbl>
    <w:p w:rsidR="00CC4BED" w:rsidRPr="002D59DE" w:rsidRDefault="00CC4BED" w:rsidP="002D59DE">
      <w:pPr>
        <w:pBdr>
          <w:top w:val="single" w:sz="8" w:space="4" w:color="7F7F7F"/>
          <w:bottom w:val="single" w:sz="8" w:space="0" w:color="7F7F7F"/>
        </w:pBdr>
        <w:shd w:val="clear" w:color="auto" w:fill="F2F2F2"/>
        <w:ind w:right="33"/>
        <w:jc w:val="center"/>
        <w:rPr>
          <w:rFonts w:asciiTheme="minorHAnsi" w:hAnsiTheme="minorHAnsi" w:cstheme="minorHAnsi"/>
          <w:lang w:eastAsia="pt-BR"/>
        </w:rPr>
      </w:pPr>
      <w:r w:rsidRPr="002D59DE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B46DED">
        <w:rPr>
          <w:rFonts w:asciiTheme="minorHAnsi" w:hAnsiTheme="minorHAnsi" w:cstheme="minorHAnsi"/>
          <w:lang w:eastAsia="pt-BR"/>
        </w:rPr>
        <w:t>1506</w:t>
      </w:r>
      <w:bookmarkStart w:id="0" w:name="_GoBack"/>
      <w:bookmarkEnd w:id="0"/>
      <w:r w:rsidRPr="002D59DE">
        <w:rPr>
          <w:rFonts w:asciiTheme="minorHAnsi" w:hAnsiTheme="minorHAnsi" w:cstheme="minorHAnsi"/>
          <w:lang w:eastAsia="pt-BR"/>
        </w:rPr>
        <w:t>/202</w:t>
      </w:r>
      <w:r w:rsidR="00844FAA" w:rsidRPr="002D59DE">
        <w:rPr>
          <w:rFonts w:asciiTheme="minorHAnsi" w:hAnsiTheme="minorHAnsi" w:cstheme="minorHAnsi"/>
          <w:lang w:eastAsia="pt-BR"/>
        </w:rPr>
        <w:t>2</w:t>
      </w:r>
      <w:r w:rsidR="00844FAA" w:rsidRPr="002D59DE">
        <w:rPr>
          <w:rFonts w:asciiTheme="minorHAnsi" w:hAnsiTheme="minorHAnsi" w:cstheme="minorHAnsi"/>
          <w:lang w:eastAsia="pt-BR"/>
        </w:rPr>
        <w:tab/>
      </w:r>
    </w:p>
    <w:p w:rsidR="00CC4BED" w:rsidRPr="002D59DE" w:rsidRDefault="00CC4BED" w:rsidP="002D59DE">
      <w:pPr>
        <w:tabs>
          <w:tab w:val="left" w:pos="1418"/>
        </w:tabs>
        <w:spacing w:after="120"/>
        <w:ind w:left="4820" w:right="33"/>
        <w:jc w:val="both"/>
        <w:rPr>
          <w:rFonts w:asciiTheme="minorHAnsi" w:hAnsiTheme="minorHAnsi" w:cstheme="minorHAnsi"/>
        </w:rPr>
      </w:pPr>
    </w:p>
    <w:p w:rsidR="008D6781" w:rsidRPr="002D59DE" w:rsidRDefault="008D6781" w:rsidP="002D59DE">
      <w:pPr>
        <w:tabs>
          <w:tab w:val="left" w:pos="1418"/>
        </w:tabs>
        <w:spacing w:after="120"/>
        <w:ind w:left="5103" w:right="33"/>
        <w:jc w:val="both"/>
        <w:rPr>
          <w:rFonts w:asciiTheme="minorHAnsi" w:hAnsiTheme="minorHAnsi" w:cstheme="minorHAnsi"/>
          <w:sz w:val="22"/>
        </w:rPr>
      </w:pPr>
      <w:r w:rsidRPr="002D59DE">
        <w:rPr>
          <w:rFonts w:asciiTheme="minorHAnsi" w:hAnsiTheme="minorHAnsi" w:cstheme="minorHAnsi"/>
          <w:sz w:val="22"/>
          <w:lang w:eastAsia="pt-BR"/>
        </w:rPr>
        <w:t xml:space="preserve">Homologa </w:t>
      </w:r>
      <w:r w:rsidR="00397287" w:rsidRPr="002D59DE">
        <w:rPr>
          <w:rFonts w:asciiTheme="minorHAnsi" w:hAnsiTheme="minorHAnsi" w:cstheme="minorHAnsi"/>
          <w:sz w:val="22"/>
          <w:lang w:eastAsia="pt-BR"/>
        </w:rPr>
        <w:t>envio</w:t>
      </w:r>
      <w:r w:rsidR="002D59DE" w:rsidRPr="002D59DE">
        <w:rPr>
          <w:rFonts w:asciiTheme="minorHAnsi" w:hAnsiTheme="minorHAnsi" w:cstheme="minorHAnsi"/>
          <w:sz w:val="22"/>
          <w:lang w:eastAsia="pt-BR"/>
        </w:rPr>
        <w:t xml:space="preserve"> ao CAU/BR</w:t>
      </w:r>
      <w:r w:rsidR="00397287" w:rsidRPr="002D59DE">
        <w:rPr>
          <w:rFonts w:asciiTheme="minorHAnsi" w:hAnsiTheme="minorHAnsi" w:cstheme="minorHAnsi"/>
          <w:sz w:val="22"/>
          <w:lang w:eastAsia="pt-BR"/>
        </w:rPr>
        <w:t xml:space="preserve"> de </w:t>
      </w:r>
      <w:r w:rsidR="00E33222">
        <w:rPr>
          <w:rFonts w:asciiTheme="minorHAnsi" w:hAnsiTheme="minorHAnsi" w:cstheme="minorHAnsi"/>
          <w:sz w:val="22"/>
          <w:lang w:eastAsia="pt-BR"/>
        </w:rPr>
        <w:t>solicitação de esclarecimento</w:t>
      </w:r>
      <w:r w:rsidR="002D59DE" w:rsidRPr="002D59DE">
        <w:rPr>
          <w:rFonts w:asciiTheme="minorHAnsi" w:hAnsiTheme="minorHAnsi" w:cstheme="minorHAnsi"/>
          <w:sz w:val="22"/>
          <w:lang w:eastAsia="pt-BR"/>
        </w:rPr>
        <w:t xml:space="preserve"> sobre </w:t>
      </w:r>
      <w:r w:rsidR="00397287" w:rsidRPr="002D59DE">
        <w:rPr>
          <w:rFonts w:asciiTheme="minorHAnsi" w:hAnsiTheme="minorHAnsi" w:cstheme="minorHAnsi"/>
          <w:sz w:val="22"/>
          <w:lang w:eastAsia="pt-BR"/>
        </w:rPr>
        <w:t xml:space="preserve">o encaminhamento, sem </w:t>
      </w:r>
      <w:r w:rsidR="002D59DE" w:rsidRPr="002D59DE">
        <w:rPr>
          <w:rFonts w:asciiTheme="minorHAnsi" w:hAnsiTheme="minorHAnsi" w:cstheme="minorHAnsi"/>
          <w:sz w:val="22"/>
          <w:lang w:eastAsia="pt-BR"/>
        </w:rPr>
        <w:t>a</w:t>
      </w:r>
      <w:r w:rsidR="00680155" w:rsidRPr="002D59DE">
        <w:rPr>
          <w:rFonts w:asciiTheme="minorHAnsi" w:hAnsiTheme="minorHAnsi" w:cstheme="minorHAnsi"/>
          <w:sz w:val="22"/>
          <w:lang w:eastAsia="pt-BR"/>
        </w:rPr>
        <w:t>preciação</w:t>
      </w:r>
      <w:r w:rsidR="00397287" w:rsidRPr="002D59DE">
        <w:rPr>
          <w:rFonts w:asciiTheme="minorHAnsi" w:hAnsiTheme="minorHAnsi" w:cstheme="minorHAnsi"/>
          <w:sz w:val="22"/>
          <w:lang w:eastAsia="pt-BR"/>
        </w:rPr>
        <w:t xml:space="preserve"> do CEAU-CAU/BR, das Diretrizes Curriculares Nacionais de Arquitetura e Urbanismo junto ao Conselho Nacional de Educação</w:t>
      </w:r>
      <w:r w:rsidRPr="002D59DE">
        <w:rPr>
          <w:rFonts w:asciiTheme="minorHAnsi" w:hAnsiTheme="minorHAnsi" w:cstheme="minorHAnsi"/>
          <w:sz w:val="22"/>
        </w:rPr>
        <w:t>.</w:t>
      </w:r>
    </w:p>
    <w:p w:rsidR="00A25E4E" w:rsidRPr="002D59DE" w:rsidRDefault="00A25E4E" w:rsidP="002D59DE">
      <w:pPr>
        <w:tabs>
          <w:tab w:val="left" w:pos="1418"/>
        </w:tabs>
        <w:ind w:left="6372" w:right="33"/>
        <w:jc w:val="both"/>
        <w:rPr>
          <w:rFonts w:asciiTheme="minorHAnsi" w:hAnsiTheme="minorHAnsi" w:cstheme="minorHAnsi"/>
        </w:rPr>
      </w:pPr>
    </w:p>
    <w:p w:rsidR="00ED7FDA" w:rsidRPr="002D59DE" w:rsidRDefault="00ED7FDA" w:rsidP="002D59DE">
      <w:pPr>
        <w:tabs>
          <w:tab w:val="left" w:pos="3544"/>
        </w:tabs>
        <w:spacing w:after="120"/>
        <w:ind w:right="33"/>
        <w:jc w:val="both"/>
        <w:rPr>
          <w:rFonts w:asciiTheme="minorHAnsi" w:hAnsiTheme="minorHAnsi" w:cstheme="minorHAnsi"/>
          <w:lang w:eastAsia="pt-BR"/>
        </w:rPr>
      </w:pPr>
      <w:r w:rsidRPr="002D59D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8322DE" w:rsidRPr="002D59DE">
        <w:rPr>
          <w:rFonts w:asciiTheme="minorHAnsi" w:hAnsiTheme="minorHAnsi" w:cstheme="minorHAnsi"/>
          <w:lang w:eastAsia="pt-BR"/>
        </w:rPr>
        <w:t>26 de agosto</w:t>
      </w:r>
      <w:r w:rsidR="001A2002" w:rsidRPr="002D59DE">
        <w:rPr>
          <w:rFonts w:asciiTheme="minorHAnsi" w:hAnsiTheme="minorHAnsi" w:cstheme="minorHAnsi"/>
          <w:lang w:eastAsia="pt-BR"/>
        </w:rPr>
        <w:t xml:space="preserve"> </w:t>
      </w:r>
      <w:r w:rsidRPr="002D59DE">
        <w:rPr>
          <w:rFonts w:asciiTheme="minorHAnsi" w:hAnsiTheme="minorHAnsi" w:cstheme="minorHAnsi"/>
          <w:lang w:eastAsia="pt-BR"/>
        </w:rPr>
        <w:t>de 202</w:t>
      </w:r>
      <w:r w:rsidR="0020210B" w:rsidRPr="002D59DE">
        <w:rPr>
          <w:rFonts w:asciiTheme="minorHAnsi" w:hAnsiTheme="minorHAnsi" w:cstheme="minorHAnsi"/>
          <w:lang w:eastAsia="pt-BR"/>
        </w:rPr>
        <w:t>2</w:t>
      </w:r>
      <w:r w:rsidRPr="002D59D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8D6781" w:rsidRPr="002D59DE" w:rsidRDefault="008D6781" w:rsidP="002D59DE">
      <w:pPr>
        <w:autoSpaceDE w:val="0"/>
        <w:autoSpaceDN w:val="0"/>
        <w:adjustRightInd w:val="0"/>
        <w:spacing w:after="120"/>
        <w:ind w:right="33"/>
        <w:jc w:val="both"/>
        <w:rPr>
          <w:rFonts w:asciiTheme="minorHAnsi" w:hAnsiTheme="minorHAnsi" w:cstheme="minorHAnsi"/>
          <w:shd w:val="clear" w:color="auto" w:fill="FFFFFF"/>
        </w:rPr>
      </w:pPr>
      <w:r w:rsidRPr="002D59DE">
        <w:rPr>
          <w:rFonts w:asciiTheme="minorHAnsi" w:hAnsiTheme="minorHAnsi" w:cstheme="minorHAnsi"/>
          <w:shd w:val="clear" w:color="auto" w:fill="FFFFFF"/>
        </w:rPr>
        <w:t>Considerando o artigo 56 do Regimento Interno do CAU/RS que estabelece que em situações que exijam cumprimento de prazos antes da realização de reuniões plenárias, o presidente poderá praticar atos ad referendum do Plenário, cabendo sua apreciação na primeira reunião plenária subsequente;</w:t>
      </w:r>
    </w:p>
    <w:p w:rsidR="008D6781" w:rsidRPr="002D59DE" w:rsidRDefault="008D6781" w:rsidP="002D59DE">
      <w:pPr>
        <w:autoSpaceDE w:val="0"/>
        <w:autoSpaceDN w:val="0"/>
        <w:adjustRightInd w:val="0"/>
        <w:spacing w:after="120"/>
        <w:ind w:right="33"/>
        <w:jc w:val="both"/>
        <w:rPr>
          <w:rFonts w:asciiTheme="minorHAnsi" w:hAnsiTheme="minorHAnsi" w:cstheme="minorHAnsi"/>
          <w:shd w:val="clear" w:color="auto" w:fill="FFFFFF"/>
        </w:rPr>
      </w:pPr>
      <w:r w:rsidRPr="002D59DE">
        <w:rPr>
          <w:rFonts w:asciiTheme="minorHAnsi" w:hAnsiTheme="minorHAnsi" w:cstheme="minorHAnsi"/>
          <w:shd w:val="clear" w:color="auto" w:fill="FFFFFF"/>
        </w:rPr>
        <w:t>Considerando ainda que o Regimento Interno, artigo 151, inciso XXXI define dentre as competências do presidente do CAU/RS, resolver casos de urgência ad referendum do Plenário e do Conselho Diretor;</w:t>
      </w:r>
    </w:p>
    <w:p w:rsidR="008322DE" w:rsidRPr="002D59DE" w:rsidRDefault="008322DE" w:rsidP="002D59DE">
      <w:pPr>
        <w:spacing w:after="120"/>
        <w:ind w:right="33"/>
        <w:jc w:val="both"/>
        <w:rPr>
          <w:rFonts w:asciiTheme="minorHAnsi" w:eastAsiaTheme="minorHAnsi" w:hAnsiTheme="minorHAnsi" w:cstheme="minorHAnsi"/>
          <w:color w:val="000000"/>
        </w:rPr>
      </w:pPr>
      <w:r w:rsidRPr="002D59DE">
        <w:rPr>
          <w:rFonts w:asciiTheme="minorHAnsi" w:eastAsiaTheme="minorHAnsi" w:hAnsiTheme="minorHAnsi" w:cstheme="minorHAnsi"/>
          <w:color w:val="000000"/>
        </w:rPr>
        <w:t>Considerando que as Diretrizes Curriculares Nacionais são essenciais para a elaboração das Manifestações Técnicas acerca dos atos de autorização, reconhecimento e renovação de reconhecimento de cursos de graduação e a crucial relevância das DCN atualizadas e ampliadas para a qualidade do ensino de Arquitetura e Urbanismo no país;</w:t>
      </w:r>
    </w:p>
    <w:p w:rsidR="008322DE" w:rsidRPr="002D59DE" w:rsidRDefault="008322DE" w:rsidP="002D59DE">
      <w:pPr>
        <w:spacing w:after="120"/>
        <w:ind w:right="33"/>
        <w:jc w:val="both"/>
        <w:rPr>
          <w:rFonts w:asciiTheme="minorHAnsi" w:eastAsiaTheme="minorHAnsi" w:hAnsiTheme="minorHAnsi" w:cstheme="minorHAnsi"/>
          <w:color w:val="000000"/>
        </w:rPr>
      </w:pPr>
      <w:r w:rsidRPr="002D59DE">
        <w:rPr>
          <w:rFonts w:asciiTheme="minorHAnsi" w:eastAsiaTheme="minorHAnsi" w:hAnsiTheme="minorHAnsi" w:cstheme="minorHAnsi"/>
          <w:color w:val="000000"/>
        </w:rPr>
        <w:t xml:space="preserve">Considerando a Deliberação nº 077/2019 CEF-CAU/BR que enviou proposta de revisão das Diretrizes Curriculares Nacionais para os cursos de graduação em Arquitetura e Urbanismo à Associação Brasileira de Ensino de Arquitetura e Urbanismo – ABEA debate e encaminhamento no XXXVII ENSEA/XX CONABEA, realizado entre 12 a 15 de novembro de 2019; </w:t>
      </w:r>
    </w:p>
    <w:p w:rsidR="008322DE" w:rsidRPr="002D59DE" w:rsidRDefault="008322DE" w:rsidP="002D59DE">
      <w:pPr>
        <w:spacing w:after="120"/>
        <w:ind w:right="33"/>
        <w:jc w:val="both"/>
        <w:rPr>
          <w:rFonts w:asciiTheme="minorHAnsi" w:eastAsiaTheme="minorHAnsi" w:hAnsiTheme="minorHAnsi" w:cstheme="minorHAnsi"/>
          <w:color w:val="000000"/>
        </w:rPr>
      </w:pPr>
      <w:r w:rsidRPr="002D59DE">
        <w:rPr>
          <w:rFonts w:asciiTheme="minorHAnsi" w:eastAsiaTheme="minorHAnsi" w:hAnsiTheme="minorHAnsi" w:cstheme="minorHAnsi"/>
          <w:color w:val="000000"/>
        </w:rPr>
        <w:t>Considerando a Deliberação Plenária DPO-RS nº 1383/2021 que homologou Nota Pública do CAU/RS quanto ao Ensino Remoto Emergencial e a retomada da interatividade presencial no Ensino e Formação em Arquitetura e Urbanismo, encaminhada ao CAU/BR através do Protocolo SICCAU nº 1433257/2022;</w:t>
      </w:r>
    </w:p>
    <w:p w:rsidR="008322DE" w:rsidRPr="002D59DE" w:rsidRDefault="008322DE" w:rsidP="002D59DE">
      <w:pPr>
        <w:autoSpaceDE w:val="0"/>
        <w:autoSpaceDN w:val="0"/>
        <w:adjustRightInd w:val="0"/>
        <w:spacing w:after="120"/>
        <w:ind w:right="33"/>
        <w:jc w:val="both"/>
        <w:rPr>
          <w:rFonts w:asciiTheme="minorHAnsi" w:eastAsiaTheme="minorHAnsi" w:hAnsiTheme="minorHAnsi" w:cstheme="minorHAnsi"/>
          <w:color w:val="000000"/>
        </w:rPr>
      </w:pPr>
      <w:r w:rsidRPr="002D59DE">
        <w:rPr>
          <w:rFonts w:asciiTheme="minorHAnsi" w:eastAsiaTheme="minorHAnsi" w:hAnsiTheme="minorHAnsi" w:cstheme="minorHAnsi"/>
          <w:color w:val="000000"/>
        </w:rPr>
        <w:t>Considerando a Deliberação Plenária DPO-RS nº 1421/2022 que homologou Nota Conjunta do CAU/RS, CAU/SC e CAU/PR quanto ao Enfrentamento do Ensino à Distância em Arquitetura e Urbanismo, encaminhada ao CAU/BR através do Protocolo SICCAU nº 1488688/2022.</w:t>
      </w:r>
      <w:r w:rsidRPr="002D59DE">
        <w:rPr>
          <w:rFonts w:asciiTheme="minorHAnsi" w:eastAsiaTheme="minorHAnsi" w:hAnsiTheme="minorHAnsi" w:cstheme="minorHAnsi"/>
          <w:color w:val="000000"/>
        </w:rPr>
        <w:tab/>
      </w:r>
    </w:p>
    <w:p w:rsidR="008322DE" w:rsidRPr="002D59DE" w:rsidRDefault="008322DE" w:rsidP="002D59DE">
      <w:pPr>
        <w:autoSpaceDE w:val="0"/>
        <w:autoSpaceDN w:val="0"/>
        <w:adjustRightInd w:val="0"/>
        <w:spacing w:after="120"/>
        <w:ind w:right="33"/>
        <w:jc w:val="both"/>
        <w:rPr>
          <w:rFonts w:asciiTheme="minorHAnsi" w:hAnsiTheme="minorHAnsi" w:cstheme="minorHAnsi"/>
        </w:rPr>
      </w:pPr>
      <w:r w:rsidRPr="002D59DE">
        <w:rPr>
          <w:rFonts w:asciiTheme="minorHAnsi" w:hAnsiTheme="minorHAnsi" w:cstheme="minorHAnsi"/>
        </w:rPr>
        <w:t xml:space="preserve">Considerando a Deliberação Plenária DPO-RS nº 1447/2022 que encaminhou ao CAU/BR, solicitação de retomada das discussões sobre as novas Diretrizes Curriculares Nacionais de Arquitetura e Urbanismo (DCN), a partir do anexo da Deliberação nº 077/2019 – CEF-CAU/BR, </w:t>
      </w:r>
      <w:r w:rsidRPr="002D59DE">
        <w:rPr>
          <w:rFonts w:asciiTheme="minorHAnsi" w:hAnsiTheme="minorHAnsi" w:cstheme="minorHAnsi"/>
        </w:rPr>
        <w:lastRenderedPageBreak/>
        <w:t>protagonizando os debates e o encaminhamento ao MEC (Ministério da Educação), bem como das justificativas que embasam a imediata necessidade de atualização das DCN;</w:t>
      </w:r>
    </w:p>
    <w:p w:rsidR="008322DE" w:rsidRPr="002D59DE" w:rsidRDefault="008322DE" w:rsidP="002D59DE">
      <w:pPr>
        <w:autoSpaceDE w:val="0"/>
        <w:autoSpaceDN w:val="0"/>
        <w:adjustRightInd w:val="0"/>
        <w:spacing w:after="120"/>
        <w:ind w:right="33"/>
        <w:jc w:val="both"/>
        <w:rPr>
          <w:rFonts w:asciiTheme="minorHAnsi" w:hAnsiTheme="minorHAnsi" w:cstheme="minorHAnsi"/>
        </w:rPr>
      </w:pPr>
      <w:r w:rsidRPr="002D59DE">
        <w:rPr>
          <w:rFonts w:asciiTheme="minorHAnsi" w:hAnsiTheme="minorHAnsi" w:cstheme="minorHAnsi"/>
          <w:shd w:val="clear" w:color="auto" w:fill="FFFFFF"/>
        </w:rPr>
        <w:t xml:space="preserve">Considerando o Ofício 027/2022 do </w:t>
      </w:r>
      <w:r w:rsidRPr="002D59DE">
        <w:rPr>
          <w:rFonts w:asciiTheme="minorHAnsi" w:hAnsiTheme="minorHAnsi" w:cstheme="minorHAnsi"/>
        </w:rPr>
        <w:t>Fórum de Presidentes dos Conselhos de Arquitetura e Urbanismo das Unidades Federativas</w:t>
      </w:r>
      <w:r w:rsidRPr="002D59DE">
        <w:rPr>
          <w:rFonts w:asciiTheme="minorHAnsi" w:hAnsiTheme="minorHAnsi" w:cstheme="minorHAnsi"/>
          <w:shd w:val="clear" w:color="auto" w:fill="FFFFFF"/>
        </w:rPr>
        <w:t xml:space="preserve">, que encaminhou ao CAU/BR, </w:t>
      </w:r>
      <w:r w:rsidRPr="002D59DE">
        <w:rPr>
          <w:rFonts w:asciiTheme="minorHAnsi" w:hAnsiTheme="minorHAnsi" w:cstheme="minorHAnsi"/>
        </w:rPr>
        <w:t>proposições no sentido de colaborar com a busca pela resolução da situação do Ensino Superior em Arquitetura e Urbanismo no Brasil, dentre as quais, “alinhar e criar agenda junto à CEF-CAU/BR e ao CEAU-CAU/BR no sentido de dar início à revisão das Diretrizes Curriculares Nacionais – DCN, com envolvimento das entidades relacionadas, bem como das Comissões de Ensino e Formação dos CAU/UF e das Instituições de Ensino;</w:t>
      </w:r>
    </w:p>
    <w:p w:rsidR="008322DE" w:rsidRPr="002D59DE" w:rsidRDefault="008322DE" w:rsidP="002D59DE">
      <w:pPr>
        <w:autoSpaceDE w:val="0"/>
        <w:autoSpaceDN w:val="0"/>
        <w:adjustRightInd w:val="0"/>
        <w:spacing w:after="120"/>
        <w:ind w:right="33"/>
        <w:jc w:val="both"/>
        <w:rPr>
          <w:rFonts w:asciiTheme="minorHAnsi" w:hAnsiTheme="minorHAnsi" w:cstheme="minorHAnsi"/>
        </w:rPr>
      </w:pPr>
      <w:r w:rsidRPr="002D59DE">
        <w:rPr>
          <w:rFonts w:asciiTheme="minorHAnsi" w:hAnsiTheme="minorHAnsi" w:cstheme="minorHAnsi"/>
        </w:rPr>
        <w:t xml:space="preserve">Considerando a protocolização de Proposta de Diretrizes Curriculares Nacionais do Curso de Graduação em Arquitetura e Urbanismo aprovada em abril 2022, no XXXVIII ENSEA – Encontro Nacional sobre Ensino de Arquitetura e Urbanismo e XXI CONABEA – Congresso da Associação Brasileira de Ensino de Arquitetura e Urbanismo, pela </w:t>
      </w:r>
      <w:r w:rsidRPr="002D59DE">
        <w:rPr>
          <w:rFonts w:asciiTheme="minorHAnsi" w:eastAsiaTheme="minorHAnsi" w:hAnsiTheme="minorHAnsi" w:cstheme="minorHAnsi"/>
          <w:color w:val="000000"/>
        </w:rPr>
        <w:t xml:space="preserve">Associação Brasileira de Ensino de Arquitetura e Urbanismo – ABEA, a partir da proposta já homologada em 2019, junto ao </w:t>
      </w:r>
      <w:r w:rsidRPr="002D59DE">
        <w:rPr>
          <w:rFonts w:asciiTheme="minorHAnsi" w:hAnsiTheme="minorHAnsi" w:cstheme="minorHAnsi"/>
        </w:rPr>
        <w:t>Conselho Nacional de Educação.</w:t>
      </w:r>
    </w:p>
    <w:p w:rsidR="002D59DE" w:rsidRPr="002D59DE" w:rsidRDefault="002D59DE" w:rsidP="002D59DE">
      <w:pPr>
        <w:ind w:right="33"/>
        <w:jc w:val="both"/>
        <w:rPr>
          <w:rFonts w:asciiTheme="minorHAnsi" w:hAnsiTheme="minorHAnsi" w:cstheme="minorHAnsi"/>
          <w:b/>
          <w:lang w:eastAsia="pt-BR"/>
        </w:rPr>
      </w:pPr>
    </w:p>
    <w:p w:rsidR="00AC106A" w:rsidRPr="002D59DE" w:rsidRDefault="004F4077" w:rsidP="002D59DE">
      <w:pPr>
        <w:ind w:right="33"/>
        <w:jc w:val="both"/>
        <w:rPr>
          <w:rFonts w:asciiTheme="minorHAnsi" w:hAnsiTheme="minorHAnsi" w:cstheme="minorHAnsi"/>
          <w:b/>
          <w:lang w:eastAsia="pt-BR"/>
        </w:rPr>
      </w:pPr>
      <w:r w:rsidRPr="002D59DE">
        <w:rPr>
          <w:rFonts w:asciiTheme="minorHAnsi" w:hAnsiTheme="minorHAnsi" w:cstheme="minorHAnsi"/>
          <w:b/>
          <w:lang w:eastAsia="pt-BR"/>
        </w:rPr>
        <w:t>DELIBEROU</w:t>
      </w:r>
      <w:r w:rsidR="00766FE1" w:rsidRPr="002D59DE">
        <w:rPr>
          <w:rFonts w:asciiTheme="minorHAnsi" w:hAnsiTheme="minorHAnsi" w:cstheme="minorHAnsi"/>
          <w:b/>
          <w:lang w:eastAsia="pt-BR"/>
        </w:rPr>
        <w:t xml:space="preserve"> por</w:t>
      </w:r>
      <w:r w:rsidRPr="002D59DE">
        <w:rPr>
          <w:rFonts w:asciiTheme="minorHAnsi" w:hAnsiTheme="minorHAnsi" w:cstheme="minorHAnsi"/>
          <w:b/>
          <w:lang w:eastAsia="pt-BR"/>
        </w:rPr>
        <w:t>:</w:t>
      </w:r>
    </w:p>
    <w:p w:rsidR="00397287" w:rsidRPr="002D59DE" w:rsidRDefault="00397287" w:rsidP="002D59DE">
      <w:pPr>
        <w:pStyle w:val="PargrafodaLista"/>
        <w:ind w:right="33"/>
        <w:jc w:val="both"/>
        <w:rPr>
          <w:rStyle w:val="normaltextrun"/>
          <w:rFonts w:asciiTheme="minorHAnsi" w:hAnsiTheme="minorHAnsi" w:cstheme="minorHAnsi"/>
        </w:rPr>
      </w:pPr>
    </w:p>
    <w:p w:rsidR="00397287" w:rsidRPr="002D59DE" w:rsidRDefault="00397287" w:rsidP="002D59DE">
      <w:pPr>
        <w:numPr>
          <w:ilvl w:val="0"/>
          <w:numId w:val="4"/>
        </w:numPr>
        <w:tabs>
          <w:tab w:val="left" w:pos="709"/>
        </w:tabs>
        <w:autoSpaceDN w:val="0"/>
        <w:spacing w:after="120"/>
        <w:ind w:left="0" w:right="33" w:firstLine="0"/>
        <w:jc w:val="both"/>
        <w:rPr>
          <w:rFonts w:asciiTheme="minorHAnsi" w:hAnsiTheme="minorHAnsi" w:cstheme="minorHAnsi"/>
        </w:rPr>
      </w:pPr>
      <w:r w:rsidRPr="002D59DE">
        <w:rPr>
          <w:rFonts w:asciiTheme="minorHAnsi" w:hAnsiTheme="minorHAnsi" w:cstheme="minorHAnsi"/>
        </w:rPr>
        <w:t>Homologar</w:t>
      </w:r>
      <w:r w:rsidR="00E33222">
        <w:rPr>
          <w:rFonts w:asciiTheme="minorHAnsi" w:hAnsiTheme="minorHAnsi" w:cstheme="minorHAnsi"/>
        </w:rPr>
        <w:t xml:space="preserve"> o</w:t>
      </w:r>
      <w:r w:rsidRPr="002D59DE">
        <w:rPr>
          <w:rFonts w:asciiTheme="minorHAnsi" w:hAnsiTheme="minorHAnsi" w:cstheme="minorHAnsi"/>
        </w:rPr>
        <w:t xml:space="preserve"> envio </w:t>
      </w:r>
      <w:r w:rsidR="00E33222" w:rsidRPr="002D59DE">
        <w:rPr>
          <w:rFonts w:asciiTheme="minorHAnsi" w:hAnsiTheme="minorHAnsi" w:cstheme="minorHAnsi"/>
        </w:rPr>
        <w:t>ao CAU/BR</w:t>
      </w:r>
      <w:r w:rsidR="00E33222" w:rsidRPr="002D59DE">
        <w:rPr>
          <w:rFonts w:asciiTheme="minorHAnsi" w:hAnsiTheme="minorHAnsi" w:cstheme="minorHAnsi"/>
        </w:rPr>
        <w:t xml:space="preserve"> </w:t>
      </w:r>
      <w:r w:rsidRPr="002D59DE">
        <w:rPr>
          <w:rFonts w:asciiTheme="minorHAnsi" w:hAnsiTheme="minorHAnsi" w:cstheme="minorHAnsi"/>
        </w:rPr>
        <w:t xml:space="preserve">de </w:t>
      </w:r>
      <w:r w:rsidR="00E33222">
        <w:rPr>
          <w:rFonts w:asciiTheme="minorHAnsi" w:hAnsiTheme="minorHAnsi" w:cstheme="minorHAnsi"/>
        </w:rPr>
        <w:t>solicitação de esclarecimento</w:t>
      </w:r>
      <w:r w:rsidRPr="002D59DE">
        <w:rPr>
          <w:rFonts w:asciiTheme="minorHAnsi" w:hAnsiTheme="minorHAnsi" w:cstheme="minorHAnsi"/>
        </w:rPr>
        <w:t xml:space="preserve"> acerca do encaminhamento</w:t>
      </w:r>
      <w:r w:rsidR="00680155" w:rsidRPr="002D59DE">
        <w:rPr>
          <w:rFonts w:asciiTheme="minorHAnsi" w:hAnsiTheme="minorHAnsi" w:cstheme="minorHAnsi"/>
        </w:rPr>
        <w:t xml:space="preserve"> das Diretrizes Curriculares Nacionais de Arquitetura e Urbanismo junto ao Conselho Nacional de Educação</w:t>
      </w:r>
      <w:r w:rsidRPr="002D59DE">
        <w:rPr>
          <w:rFonts w:asciiTheme="minorHAnsi" w:hAnsiTheme="minorHAnsi" w:cstheme="minorHAnsi"/>
        </w:rPr>
        <w:t xml:space="preserve">, sem </w:t>
      </w:r>
      <w:r w:rsidR="00680155" w:rsidRPr="002D59DE">
        <w:rPr>
          <w:rFonts w:asciiTheme="minorHAnsi" w:hAnsiTheme="minorHAnsi" w:cstheme="minorHAnsi"/>
        </w:rPr>
        <w:t xml:space="preserve">apreciação </w:t>
      </w:r>
      <w:r w:rsidRPr="002D59DE">
        <w:rPr>
          <w:rFonts w:asciiTheme="minorHAnsi" w:hAnsiTheme="minorHAnsi" w:cstheme="minorHAnsi"/>
        </w:rPr>
        <w:t xml:space="preserve">do </w:t>
      </w:r>
      <w:r w:rsidR="00680155" w:rsidRPr="002D59DE">
        <w:rPr>
          <w:rFonts w:asciiTheme="minorHAnsi" w:hAnsiTheme="minorHAnsi" w:cstheme="minorHAnsi"/>
        </w:rPr>
        <w:t xml:space="preserve">texto final pelo </w:t>
      </w:r>
      <w:r w:rsidR="00E33222">
        <w:rPr>
          <w:rFonts w:asciiTheme="minorHAnsi" w:hAnsiTheme="minorHAnsi" w:cstheme="minorHAnsi"/>
        </w:rPr>
        <w:t>CEAU-CAU/BR;</w:t>
      </w:r>
    </w:p>
    <w:p w:rsidR="00E22F50" w:rsidRPr="002D59DE" w:rsidRDefault="00E33222" w:rsidP="002D59DE">
      <w:pPr>
        <w:numPr>
          <w:ilvl w:val="0"/>
          <w:numId w:val="4"/>
        </w:numPr>
        <w:tabs>
          <w:tab w:val="left" w:pos="709"/>
        </w:tabs>
        <w:autoSpaceDN w:val="0"/>
        <w:spacing w:after="120"/>
        <w:ind w:left="0" w:right="33" w:firstLine="0"/>
        <w:jc w:val="both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Questionar ao CAU/BR</w:t>
      </w:r>
      <w:r w:rsidR="00397287" w:rsidRPr="002D59DE">
        <w:rPr>
          <w:rStyle w:val="normaltextrun"/>
          <w:rFonts w:asciiTheme="minorHAnsi" w:hAnsiTheme="minorHAnsi" w:cstheme="minorHAnsi"/>
        </w:rPr>
        <w:t xml:space="preserve"> quais providências serão tomadas quanto a ausência de apreciação da proposta para as novas Diretrizes Curriculares Nacionais de Arquitetura e</w:t>
      </w:r>
      <w:r w:rsidR="00E22F50" w:rsidRPr="002D59DE">
        <w:rPr>
          <w:rStyle w:val="normaltextrun"/>
          <w:rFonts w:asciiTheme="minorHAnsi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 xml:space="preserve">Urbanismo </w:t>
      </w:r>
      <w:r w:rsidR="00397287" w:rsidRPr="002D59DE">
        <w:rPr>
          <w:rStyle w:val="normaltextrun"/>
          <w:rFonts w:asciiTheme="minorHAnsi" w:hAnsiTheme="minorHAnsi" w:cstheme="minorHAnsi"/>
        </w:rPr>
        <w:t xml:space="preserve">pelas demais entidades que compõem o CEAU-CAU/BR, bem como ao próprio </w:t>
      </w:r>
      <w:r w:rsidR="00680155" w:rsidRPr="002D59DE">
        <w:rPr>
          <w:rStyle w:val="normaltextrun"/>
          <w:rFonts w:asciiTheme="minorHAnsi" w:hAnsiTheme="minorHAnsi" w:cstheme="minorHAnsi"/>
        </w:rPr>
        <w:t>Conselho Federal</w:t>
      </w:r>
      <w:r w:rsidR="00E22F50" w:rsidRPr="002D59DE">
        <w:rPr>
          <w:rStyle w:val="normaltextrun"/>
          <w:rFonts w:asciiTheme="minorHAnsi" w:hAnsiTheme="minorHAnsi" w:cstheme="minorHAnsi"/>
        </w:rPr>
        <w:t xml:space="preserve">, em razão de que o material protocolizado junto ao CNE, redigido em 2019, claramente, necessita de complementações, principalmente no que tange ao Ensino à Distância; </w:t>
      </w:r>
    </w:p>
    <w:p w:rsidR="002D59DE" w:rsidRPr="002D59DE" w:rsidRDefault="00E22F50" w:rsidP="002D59DE">
      <w:pPr>
        <w:numPr>
          <w:ilvl w:val="0"/>
          <w:numId w:val="4"/>
        </w:numPr>
        <w:tabs>
          <w:tab w:val="left" w:pos="709"/>
        </w:tabs>
        <w:autoSpaceDN w:val="0"/>
        <w:spacing w:after="120"/>
        <w:ind w:left="0" w:right="33" w:firstLine="0"/>
        <w:jc w:val="both"/>
        <w:rPr>
          <w:rStyle w:val="normaltextrun"/>
          <w:rFonts w:asciiTheme="minorHAnsi" w:hAnsiTheme="minorHAnsi" w:cstheme="minorHAnsi"/>
        </w:rPr>
      </w:pPr>
      <w:r w:rsidRPr="002D59DE">
        <w:rPr>
          <w:rStyle w:val="normaltextrun"/>
          <w:rFonts w:asciiTheme="minorHAnsi" w:hAnsiTheme="minorHAnsi" w:cstheme="minorHAnsi"/>
        </w:rPr>
        <w:t xml:space="preserve">Encaminhar </w:t>
      </w:r>
      <w:r w:rsidR="00680155" w:rsidRPr="002D59DE">
        <w:rPr>
          <w:rStyle w:val="normaltextrun"/>
          <w:rFonts w:asciiTheme="minorHAnsi" w:hAnsiTheme="minorHAnsi" w:cstheme="minorHAnsi"/>
        </w:rPr>
        <w:t xml:space="preserve">a presente deliberação aos </w:t>
      </w:r>
      <w:proofErr w:type="spellStart"/>
      <w:r w:rsidR="00680155" w:rsidRPr="002D59DE">
        <w:rPr>
          <w:rStyle w:val="normaltextrun"/>
          <w:rFonts w:asciiTheme="minorHAnsi" w:hAnsiTheme="minorHAnsi" w:cstheme="minorHAnsi"/>
        </w:rPr>
        <w:t>CAUs</w:t>
      </w:r>
      <w:proofErr w:type="spellEnd"/>
      <w:r w:rsidR="00680155" w:rsidRPr="002D59DE">
        <w:rPr>
          <w:rStyle w:val="normaltextrun"/>
          <w:rFonts w:asciiTheme="minorHAnsi" w:hAnsiTheme="minorHAnsi" w:cstheme="minorHAnsi"/>
        </w:rPr>
        <w:t>/UF para ciência e providências</w:t>
      </w:r>
      <w:r w:rsidRPr="002D59DE">
        <w:rPr>
          <w:rStyle w:val="normaltextrun"/>
          <w:rFonts w:asciiTheme="minorHAnsi" w:hAnsiTheme="minorHAnsi" w:cstheme="minorHAnsi"/>
        </w:rPr>
        <w:t>.</w:t>
      </w:r>
    </w:p>
    <w:p w:rsidR="00507DD9" w:rsidRPr="002D59DE" w:rsidRDefault="004F4077" w:rsidP="00E33222">
      <w:pPr>
        <w:pStyle w:val="PargrafodaLista"/>
        <w:tabs>
          <w:tab w:val="left" w:pos="1036"/>
        </w:tabs>
        <w:spacing w:before="120"/>
        <w:ind w:left="0" w:right="34"/>
        <w:jc w:val="both"/>
        <w:rPr>
          <w:rFonts w:asciiTheme="minorHAnsi" w:hAnsiTheme="minorHAnsi" w:cstheme="minorHAnsi"/>
          <w:u w:val="single"/>
          <w:lang w:eastAsia="pt-BR"/>
        </w:rPr>
      </w:pPr>
      <w:r w:rsidRPr="002D59D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2D59DE" w:rsidRDefault="009F48A5" w:rsidP="002D59DE">
      <w:pPr>
        <w:pStyle w:val="PargrafodaLista"/>
        <w:tabs>
          <w:tab w:val="left" w:pos="3969"/>
        </w:tabs>
        <w:ind w:left="0" w:right="33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550F44" w:rsidRPr="002D59DE" w:rsidRDefault="00550F44" w:rsidP="002D59DE">
      <w:pPr>
        <w:ind w:right="33"/>
        <w:jc w:val="both"/>
        <w:rPr>
          <w:rFonts w:asciiTheme="minorHAnsi" w:hAnsiTheme="minorHAnsi" w:cstheme="minorHAnsi"/>
        </w:rPr>
      </w:pPr>
      <w:r w:rsidRPr="002D59DE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Deise Flores, Denise dos Santos Simões, Gislaine Vargas Saibro, Lidia Glacir Gomes Rodrigues, Marcia Elizabeth Martins e Silvia Monteiro </w:t>
      </w:r>
      <w:proofErr w:type="spellStart"/>
      <w:r w:rsidRPr="002D59DE">
        <w:rPr>
          <w:rFonts w:asciiTheme="minorHAnsi" w:hAnsiTheme="minorHAnsi" w:cstheme="minorHAnsi"/>
          <w:color w:val="000000"/>
        </w:rPr>
        <w:t>Barakat</w:t>
      </w:r>
      <w:proofErr w:type="spellEnd"/>
      <w:r w:rsidRPr="002D59DE">
        <w:rPr>
          <w:rFonts w:asciiTheme="minorHAnsi" w:hAnsiTheme="minorHAnsi" w:cstheme="minorHAnsi"/>
          <w:color w:val="000000"/>
        </w:rPr>
        <w:t xml:space="preserve"> </w:t>
      </w:r>
      <w:r w:rsidRPr="002D59DE">
        <w:rPr>
          <w:rFonts w:asciiTheme="minorHAnsi" w:hAnsiTheme="minorHAnsi" w:cstheme="minorHAnsi"/>
        </w:rPr>
        <w:t xml:space="preserve">e dos conselheiros Alexandre Giorgi, Carlos Eduardo Mesquita Pedone, Diego </w:t>
      </w:r>
      <w:proofErr w:type="spellStart"/>
      <w:r w:rsidRPr="002D59DE">
        <w:rPr>
          <w:rFonts w:asciiTheme="minorHAnsi" w:hAnsiTheme="minorHAnsi" w:cstheme="minorHAnsi"/>
        </w:rPr>
        <w:t>Bertoletti</w:t>
      </w:r>
      <w:proofErr w:type="spellEnd"/>
      <w:r w:rsidRPr="002D59DE">
        <w:rPr>
          <w:rFonts w:asciiTheme="minorHAnsi" w:hAnsiTheme="minorHAnsi" w:cstheme="minorHAnsi"/>
        </w:rPr>
        <w:t xml:space="preserve"> da Rocha, Emilio Merino Dominguez, Fábio Müller, Fausto Henrique Steffen, Pedro Xavier de Araújo, Rafael Ártico, Rinaldo Ferreira Barbosa, Rodrigo Spinelli e Valdir Bandeira Fiorentin; e 04 (quatro) ausências, das conselheiras Aline Pedroso da Croce, Magali </w:t>
      </w:r>
      <w:proofErr w:type="spellStart"/>
      <w:r w:rsidRPr="002D59DE">
        <w:rPr>
          <w:rFonts w:asciiTheme="minorHAnsi" w:hAnsiTheme="minorHAnsi" w:cstheme="minorHAnsi"/>
        </w:rPr>
        <w:t>Mingotti</w:t>
      </w:r>
      <w:proofErr w:type="spellEnd"/>
      <w:r w:rsidRPr="002D59DE">
        <w:rPr>
          <w:rFonts w:asciiTheme="minorHAnsi" w:hAnsiTheme="minorHAnsi" w:cstheme="minorHAnsi"/>
        </w:rPr>
        <w:t xml:space="preserve"> e Marisa Potter</w:t>
      </w:r>
      <w:r w:rsidRPr="002D59DE">
        <w:rPr>
          <w:rFonts w:asciiTheme="minorHAnsi" w:hAnsiTheme="minorHAnsi" w:cstheme="minorHAnsi"/>
          <w:color w:val="000000"/>
        </w:rPr>
        <w:t xml:space="preserve"> e do conselheiro </w:t>
      </w:r>
      <w:r w:rsidRPr="002D59DE">
        <w:rPr>
          <w:rFonts w:asciiTheme="minorHAnsi" w:hAnsiTheme="minorHAnsi" w:cstheme="minorHAnsi"/>
        </w:rPr>
        <w:t xml:space="preserve">Lucas Bernardes </w:t>
      </w:r>
      <w:proofErr w:type="spellStart"/>
      <w:r w:rsidRPr="002D59DE">
        <w:rPr>
          <w:rFonts w:asciiTheme="minorHAnsi" w:hAnsiTheme="minorHAnsi" w:cstheme="minorHAnsi"/>
        </w:rPr>
        <w:t>Volpatto</w:t>
      </w:r>
      <w:proofErr w:type="spellEnd"/>
      <w:r w:rsidRPr="002D59DE">
        <w:rPr>
          <w:rFonts w:asciiTheme="minorHAnsi" w:hAnsiTheme="minorHAnsi" w:cstheme="minorHAnsi"/>
        </w:rPr>
        <w:t>.</w:t>
      </w:r>
    </w:p>
    <w:p w:rsidR="00550F44" w:rsidRPr="002D59DE" w:rsidRDefault="00550F44" w:rsidP="002D59DE">
      <w:pPr>
        <w:ind w:right="33"/>
        <w:jc w:val="both"/>
        <w:rPr>
          <w:rFonts w:asciiTheme="minorHAnsi" w:hAnsiTheme="minorHAnsi" w:cstheme="minorHAnsi"/>
        </w:rPr>
      </w:pPr>
    </w:p>
    <w:p w:rsidR="00550F44" w:rsidRPr="002D59DE" w:rsidRDefault="00550F44" w:rsidP="002D59DE">
      <w:pPr>
        <w:ind w:right="33"/>
        <w:jc w:val="center"/>
        <w:rPr>
          <w:rFonts w:asciiTheme="minorHAnsi" w:hAnsiTheme="minorHAnsi" w:cstheme="minorHAnsi"/>
        </w:rPr>
      </w:pPr>
      <w:r w:rsidRPr="002D59DE">
        <w:rPr>
          <w:rFonts w:asciiTheme="minorHAnsi" w:hAnsiTheme="minorHAnsi" w:cstheme="minorHAnsi"/>
        </w:rPr>
        <w:t>Porto Alegre – RS, 26 de agosto de 2022.</w:t>
      </w:r>
    </w:p>
    <w:p w:rsidR="00550F44" w:rsidRPr="002D59DE" w:rsidRDefault="00550F44" w:rsidP="002D59DE">
      <w:pPr>
        <w:ind w:right="33"/>
        <w:jc w:val="center"/>
        <w:rPr>
          <w:rFonts w:asciiTheme="minorHAnsi" w:hAnsiTheme="minorHAnsi" w:cstheme="minorHAnsi"/>
        </w:rPr>
      </w:pPr>
    </w:p>
    <w:p w:rsidR="00550F44" w:rsidRPr="002D59DE" w:rsidRDefault="00550F44" w:rsidP="002D59DE">
      <w:pPr>
        <w:ind w:right="33"/>
        <w:jc w:val="center"/>
        <w:rPr>
          <w:rFonts w:asciiTheme="minorHAnsi" w:hAnsiTheme="minorHAnsi" w:cstheme="minorHAnsi"/>
        </w:rPr>
      </w:pPr>
    </w:p>
    <w:p w:rsidR="00550F44" w:rsidRPr="002D59DE" w:rsidRDefault="00550F44" w:rsidP="002D59DE">
      <w:pPr>
        <w:ind w:right="33"/>
        <w:jc w:val="center"/>
        <w:rPr>
          <w:rFonts w:asciiTheme="minorHAnsi" w:hAnsiTheme="minorHAnsi" w:cstheme="minorHAnsi"/>
        </w:rPr>
      </w:pPr>
    </w:p>
    <w:p w:rsidR="00550F44" w:rsidRPr="002D59DE" w:rsidRDefault="00550F44" w:rsidP="002D59DE">
      <w:pPr>
        <w:ind w:right="33"/>
        <w:jc w:val="center"/>
        <w:rPr>
          <w:rFonts w:asciiTheme="minorHAnsi" w:hAnsiTheme="minorHAnsi" w:cstheme="minorHAnsi"/>
          <w:b/>
        </w:rPr>
      </w:pPr>
      <w:r w:rsidRPr="002D59DE">
        <w:rPr>
          <w:rFonts w:asciiTheme="minorHAnsi" w:hAnsiTheme="minorHAnsi" w:cstheme="minorHAnsi"/>
        </w:rPr>
        <w:tab/>
      </w:r>
      <w:r w:rsidRPr="002D59DE">
        <w:rPr>
          <w:rFonts w:asciiTheme="minorHAnsi" w:hAnsiTheme="minorHAnsi" w:cstheme="minorHAnsi"/>
          <w:b/>
        </w:rPr>
        <w:t xml:space="preserve">TIAGO HOLZMANN DA SILVA </w:t>
      </w:r>
      <w:r w:rsidRPr="002D59DE">
        <w:rPr>
          <w:rFonts w:asciiTheme="minorHAnsi" w:hAnsiTheme="minorHAnsi" w:cstheme="minorHAnsi"/>
          <w:b/>
        </w:rPr>
        <w:tab/>
      </w:r>
    </w:p>
    <w:p w:rsidR="00550F44" w:rsidRPr="002D59DE" w:rsidRDefault="00550F44" w:rsidP="002D59DE">
      <w:pPr>
        <w:ind w:right="33"/>
        <w:jc w:val="center"/>
        <w:rPr>
          <w:rFonts w:asciiTheme="minorHAnsi" w:hAnsiTheme="minorHAnsi" w:cstheme="minorHAnsi"/>
        </w:rPr>
        <w:sectPr w:rsidR="00550F44" w:rsidRPr="002D59DE" w:rsidSect="00B879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docGrid w:linePitch="326"/>
        </w:sectPr>
      </w:pPr>
      <w:r w:rsidRPr="002D59DE">
        <w:rPr>
          <w:rFonts w:asciiTheme="minorHAnsi" w:hAnsiTheme="minorHAnsi" w:cstheme="minorHAnsi"/>
        </w:rPr>
        <w:t>Presidente do CAU/RS</w:t>
      </w:r>
    </w:p>
    <w:p w:rsidR="00550F44" w:rsidRPr="002D59DE" w:rsidRDefault="00550F44" w:rsidP="00550F4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2D59DE">
        <w:rPr>
          <w:rFonts w:asciiTheme="minorHAnsi" w:hAnsiTheme="minorHAnsi" w:cstheme="minorHAnsi"/>
          <w:b/>
          <w:bCs/>
          <w:lang w:eastAsia="pt-BR"/>
        </w:rPr>
        <w:lastRenderedPageBreak/>
        <w:t>135ª REUNIÃO PLENÁRIA ORDINÁRIA DO CAU/RS</w:t>
      </w:r>
    </w:p>
    <w:p w:rsidR="00550F44" w:rsidRPr="002D59DE" w:rsidRDefault="00550F44" w:rsidP="00550F4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2D59DE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69"/>
      </w:tblGrid>
      <w:tr w:rsidR="00550F44" w:rsidRPr="002D59DE" w:rsidTr="002D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550F44" w:rsidRPr="002D59DE" w:rsidRDefault="00550F44" w:rsidP="002D179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lang w:eastAsia="pt-BR"/>
              </w:rPr>
              <w:t xml:space="preserve">Votação da Deliberação Plenária DPO-RS nº </w:t>
            </w:r>
            <w:r w:rsidR="002D59DE" w:rsidRPr="002D59DE">
              <w:rPr>
                <w:rFonts w:asciiTheme="minorHAnsi" w:eastAsia="Times New Roman" w:hAnsiTheme="minorHAnsi" w:cstheme="minorHAnsi"/>
                <w:lang w:eastAsia="pt-BR"/>
              </w:rPr>
              <w:t>1506/</w:t>
            </w:r>
            <w:r w:rsidRPr="002D59DE">
              <w:rPr>
                <w:rFonts w:asciiTheme="minorHAnsi" w:eastAsia="Times New Roman" w:hAnsiTheme="minorHAnsi" w:cstheme="minorHAnsi"/>
                <w:lang w:eastAsia="pt-BR"/>
              </w:rPr>
              <w:t xml:space="preserve">2022 - Protocolo nº </w:t>
            </w:r>
            <w:r w:rsidR="002D59DE" w:rsidRPr="002D59DE">
              <w:rPr>
                <w:rFonts w:asciiTheme="minorHAnsi" w:hAnsiTheme="minorHAnsi" w:cstheme="minorHAnsi"/>
                <w:lang w:eastAsia="pt-BR"/>
              </w:rPr>
              <w:t>1595989</w:t>
            </w:r>
            <w:r w:rsidRPr="002D59DE">
              <w:rPr>
                <w:rFonts w:asciiTheme="minorHAnsi" w:hAnsiTheme="minorHAnsi" w:cstheme="minorHAnsi"/>
                <w:lang w:eastAsia="pt-BR"/>
              </w:rPr>
              <w:t>/2022</w:t>
            </w: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:rsidR="00550F44" w:rsidRPr="002D59DE" w:rsidRDefault="00550F44" w:rsidP="002D179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550F44" w:rsidRPr="002D59DE" w:rsidRDefault="00550F44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lang w:eastAsia="pt-BR"/>
              </w:rPr>
              <w:t>Favorável</w:t>
            </w:r>
          </w:p>
        </w:tc>
        <w:tc>
          <w:tcPr>
            <w:tcW w:w="1275" w:type="dxa"/>
            <w:vAlign w:val="center"/>
          </w:tcPr>
          <w:p w:rsidR="00550F44" w:rsidRPr="002D59DE" w:rsidRDefault="00550F44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lang w:eastAsia="pt-BR"/>
              </w:rPr>
              <w:t>Contrário</w:t>
            </w:r>
          </w:p>
        </w:tc>
        <w:tc>
          <w:tcPr>
            <w:tcW w:w="1276" w:type="dxa"/>
            <w:vAlign w:val="center"/>
          </w:tcPr>
          <w:p w:rsidR="00550F44" w:rsidRPr="002D59DE" w:rsidRDefault="00550F44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550F44" w:rsidRPr="002D59DE" w:rsidRDefault="00550F44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lang w:eastAsia="pt-BR"/>
              </w:rPr>
              <w:t>Ausência</w:t>
            </w: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eastAsia="Times New Roman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Aline Pedroso da Croce </w:t>
            </w:r>
          </w:p>
        </w:tc>
        <w:tc>
          <w:tcPr>
            <w:tcW w:w="1276" w:type="dxa"/>
            <w:vAlign w:val="center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2D59DE">
              <w:rPr>
                <w:rFonts w:asciiTheme="minorHAnsi" w:eastAsia="Times New Roman" w:hAnsiTheme="minorHAnsi" w:cstheme="minorHAnsi"/>
              </w:rPr>
              <w:t>X</w:t>
            </w: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Deise Flores</w:t>
            </w:r>
          </w:p>
        </w:tc>
        <w:tc>
          <w:tcPr>
            <w:tcW w:w="1276" w:type="dxa"/>
            <w:vAlign w:val="center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Denise dos Santos Simões </w:t>
            </w:r>
          </w:p>
        </w:tc>
        <w:tc>
          <w:tcPr>
            <w:tcW w:w="1276" w:type="dxa"/>
            <w:vAlign w:val="center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 xml:space="preserve">Diego </w:t>
            </w:r>
            <w:proofErr w:type="spellStart"/>
            <w:r w:rsidRPr="002D59DE">
              <w:rPr>
                <w:rFonts w:asciiTheme="minorHAnsi" w:hAnsiTheme="minorHAnsi" w:cstheme="minorHAnsi"/>
                <w:b w:val="0"/>
              </w:rPr>
              <w:t>Bertoletti</w:t>
            </w:r>
            <w:proofErr w:type="spellEnd"/>
            <w:r w:rsidRPr="002D59DE">
              <w:rPr>
                <w:rFonts w:asciiTheme="minorHAnsi" w:hAnsiTheme="minorHAnsi" w:cstheme="minorHAnsi"/>
                <w:b w:val="0"/>
              </w:rPr>
              <w:t xml:space="preserve"> da Rocha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Emílio Merino Dominguez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Fábio Müller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Fausto Henrique Steffen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Gislaine Vargas Saibro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Lidia Glacir Gomes Rodrigues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 xml:space="preserve">Lucas Bernardes </w:t>
            </w:r>
            <w:proofErr w:type="spellStart"/>
            <w:r w:rsidRPr="002D59DE">
              <w:rPr>
                <w:rFonts w:asciiTheme="minorHAnsi" w:hAnsiTheme="minorHAnsi" w:cstheme="minorHAnsi"/>
                <w:b w:val="0"/>
              </w:rPr>
              <w:t>Volpatto</w:t>
            </w:r>
            <w:proofErr w:type="spellEnd"/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 xml:space="preserve">Magali </w:t>
            </w:r>
            <w:proofErr w:type="spellStart"/>
            <w:r w:rsidRPr="002D59DE">
              <w:rPr>
                <w:rFonts w:asciiTheme="minorHAnsi" w:hAnsiTheme="minorHAnsi" w:cstheme="minorHAnsi"/>
                <w:b w:val="0"/>
              </w:rPr>
              <w:t>Mingotti</w:t>
            </w:r>
            <w:proofErr w:type="spellEnd"/>
            <w:r w:rsidRPr="002D59DE">
              <w:rPr>
                <w:rFonts w:asciiTheme="minorHAnsi" w:hAnsiTheme="minorHAnsi" w:cstheme="minorHAnsi"/>
                <w:b w:val="0"/>
              </w:rPr>
              <w:t>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Márcia Elizabeth Martins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Pedro Xavier de Araújo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 xml:space="preserve">Rafael </w:t>
            </w:r>
            <w:proofErr w:type="spellStart"/>
            <w:r w:rsidRPr="002D59DE">
              <w:rPr>
                <w:rFonts w:asciiTheme="minorHAnsi" w:hAnsiTheme="minorHAnsi" w:cstheme="minorHAnsi"/>
                <w:b w:val="0"/>
              </w:rPr>
              <w:t>Artico</w:t>
            </w:r>
            <w:proofErr w:type="spellEnd"/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Rinaldo Ferreira Barbosa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Rodrigo Spinelli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 xml:space="preserve">Sílvia Monteiro </w:t>
            </w:r>
            <w:proofErr w:type="spellStart"/>
            <w:r w:rsidRPr="002D59DE">
              <w:rPr>
                <w:rFonts w:asciiTheme="minorHAnsi" w:hAnsiTheme="minorHAnsi" w:cstheme="minorHAnsi"/>
                <w:b w:val="0"/>
              </w:rPr>
              <w:t>Barakat</w:t>
            </w:r>
            <w:proofErr w:type="spellEnd"/>
            <w:r w:rsidRPr="002D59DE">
              <w:rPr>
                <w:rFonts w:asciiTheme="minorHAnsi" w:hAnsiTheme="minorHAnsi" w:cstheme="minorHAnsi"/>
                <w:b w:val="0"/>
              </w:rPr>
              <w:t> 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50F44" w:rsidRPr="002D59D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550F44" w:rsidRPr="002D59DE" w:rsidRDefault="00550F44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Theme="minorHAnsi" w:hAnsiTheme="minorHAnsi" w:cstheme="minorHAnsi"/>
                <w:b w:val="0"/>
              </w:rPr>
            </w:pPr>
            <w:r w:rsidRPr="002D59DE">
              <w:rPr>
                <w:rFonts w:asciiTheme="minorHAnsi" w:hAnsiTheme="minorHAnsi" w:cstheme="minorHAnsi"/>
                <w:b w:val="0"/>
              </w:rPr>
              <w:t>Valdir Bandeira Fiorentin</w:t>
            </w: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D59D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50F44" w:rsidRPr="002D59D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:rsidR="00550F44" w:rsidRPr="002D59DE" w:rsidRDefault="00550F44" w:rsidP="002D179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550F44" w:rsidRPr="002D59DE" w:rsidRDefault="00550F44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49"/>
      </w:tblGrid>
      <w:tr w:rsidR="00550F44" w:rsidRPr="002D59DE" w:rsidTr="002D179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550F44" w:rsidRPr="002D59DE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135</w:t>
            </w:r>
          </w:p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550F44" w:rsidRPr="002D59DE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26/08/2022 </w:t>
            </w:r>
          </w:p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2D59DE"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1506/</w:t>
            </w: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2022 </w:t>
            </w:r>
            <w:r w:rsidRPr="002D59D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B46DED" w:rsidRPr="00B46D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Diretrizes Curriculares Nacionais</w:t>
            </w:r>
            <w:r w:rsidRPr="002D59DE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550F44" w:rsidRPr="002D59DE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2D59D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(18) Ausências (04) Total (22) </w:t>
            </w:r>
          </w:p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550F44" w:rsidRPr="002D59DE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2D59D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550F44" w:rsidRPr="002D59DE" w:rsidRDefault="00550F44" w:rsidP="002D179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550F44" w:rsidRPr="002D59DE" w:rsidTr="002D179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550F44" w:rsidRPr="002D59DE" w:rsidRDefault="00550F44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2D59D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4F4077" w:rsidRPr="002D59DE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2D59D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B3" w:rsidRDefault="002B69B3">
      <w:r>
        <w:separator/>
      </w:r>
    </w:p>
  </w:endnote>
  <w:endnote w:type="continuationSeparator" w:id="0">
    <w:p w:rsidR="002B69B3" w:rsidRDefault="002B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44" w:rsidRDefault="00550F4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1798023608"/>
      <w:docPartObj>
        <w:docPartGallery w:val="Page Numbers (Bottom of Page)"/>
        <w:docPartUnique/>
      </w:docPartObj>
    </w:sdtPr>
    <w:sdtContent>
      <w:p w:rsidR="00550F44" w:rsidRDefault="00550F44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6DED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50F44" w:rsidRDefault="00550F44">
        <w:pPr>
          <w:pStyle w:val="Rodap"/>
          <w:ind w:left="-567"/>
          <w:rPr>
            <w:rFonts w:ascii="DaxCondensed" w:hAnsi="DaxCondensed" w:cs="Arial"/>
            <w:b/>
            <w:color w:val="2C778C"/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50F44" w:rsidRDefault="00550F44">
        <w:pPr>
          <w:pStyle w:val="Rodap"/>
          <w:ind w:left="-567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44" w:rsidRDefault="00550F4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50F44" w:rsidRDefault="00550F4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502241374"/>
      <w:docPartObj>
        <w:docPartGallery w:val="Page Numbers (Bottom of Page)"/>
        <w:docPartUnique/>
      </w:docPartObj>
    </w:sdtPr>
    <w:sdtContent>
      <w:p w:rsidR="00550F44" w:rsidRDefault="00550F44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50F44" w:rsidRDefault="00550F44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5706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B69B3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6DED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B69B3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B3" w:rsidRDefault="002B69B3">
      <w:r>
        <w:separator/>
      </w:r>
    </w:p>
  </w:footnote>
  <w:footnote w:type="continuationSeparator" w:id="0">
    <w:p w:rsidR="002B69B3" w:rsidRDefault="002B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44" w:rsidRDefault="00550F4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63D54C6A" wp14:editId="08E17C6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23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44" w:rsidRDefault="00550F44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4D6DC1CC" wp14:editId="06B0952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0F44" w:rsidRDefault="00550F44">
    <w:pPr>
      <w:pStyle w:val="Cabealho"/>
      <w:jc w:val="right"/>
    </w:pPr>
  </w:p>
  <w:p w:rsidR="00550F44" w:rsidRDefault="00550F44">
    <w:pPr>
      <w:pStyle w:val="Cabealho"/>
      <w:jc w:val="right"/>
    </w:pPr>
  </w:p>
  <w:p w:rsidR="00550F44" w:rsidRDefault="00550F44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FDEAA8AC"/>
    <w:lvl w:ilvl="0" w:tplc="511872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8"/>
  </w:num>
  <w:num w:numId="16">
    <w:abstractNumId w:val="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4021B"/>
    <w:rsid w:val="000B621A"/>
    <w:rsid w:val="0013101F"/>
    <w:rsid w:val="00183A3D"/>
    <w:rsid w:val="001A2002"/>
    <w:rsid w:val="001E2D03"/>
    <w:rsid w:val="0020210B"/>
    <w:rsid w:val="00225E96"/>
    <w:rsid w:val="002317CB"/>
    <w:rsid w:val="00274BF8"/>
    <w:rsid w:val="00286789"/>
    <w:rsid w:val="00292FD6"/>
    <w:rsid w:val="002B69B3"/>
    <w:rsid w:val="002D59DE"/>
    <w:rsid w:val="00305CBC"/>
    <w:rsid w:val="003262D1"/>
    <w:rsid w:val="00332947"/>
    <w:rsid w:val="003523FC"/>
    <w:rsid w:val="00392B9A"/>
    <w:rsid w:val="00397287"/>
    <w:rsid w:val="003A6EE1"/>
    <w:rsid w:val="003B530C"/>
    <w:rsid w:val="003D3CC3"/>
    <w:rsid w:val="004102BE"/>
    <w:rsid w:val="004129B1"/>
    <w:rsid w:val="004136E1"/>
    <w:rsid w:val="00421D3E"/>
    <w:rsid w:val="004250EB"/>
    <w:rsid w:val="00464F56"/>
    <w:rsid w:val="004921EE"/>
    <w:rsid w:val="004A7853"/>
    <w:rsid w:val="004B0F35"/>
    <w:rsid w:val="004F4077"/>
    <w:rsid w:val="00507DD9"/>
    <w:rsid w:val="005406C5"/>
    <w:rsid w:val="00550F44"/>
    <w:rsid w:val="00574BE9"/>
    <w:rsid w:val="00594DD0"/>
    <w:rsid w:val="005C18E0"/>
    <w:rsid w:val="005C3926"/>
    <w:rsid w:val="005D3430"/>
    <w:rsid w:val="0061151A"/>
    <w:rsid w:val="006264DF"/>
    <w:rsid w:val="00665E9D"/>
    <w:rsid w:val="0066618A"/>
    <w:rsid w:val="00680155"/>
    <w:rsid w:val="006F5074"/>
    <w:rsid w:val="006F72F5"/>
    <w:rsid w:val="00735525"/>
    <w:rsid w:val="00741A3F"/>
    <w:rsid w:val="0074549A"/>
    <w:rsid w:val="00766FE1"/>
    <w:rsid w:val="007A1836"/>
    <w:rsid w:val="007C70E0"/>
    <w:rsid w:val="008037A5"/>
    <w:rsid w:val="0082374C"/>
    <w:rsid w:val="008322DE"/>
    <w:rsid w:val="00844FAA"/>
    <w:rsid w:val="0086262D"/>
    <w:rsid w:val="00863CC9"/>
    <w:rsid w:val="00871AD5"/>
    <w:rsid w:val="008B0FC5"/>
    <w:rsid w:val="008B4296"/>
    <w:rsid w:val="008D4EAD"/>
    <w:rsid w:val="008D6781"/>
    <w:rsid w:val="00904C0A"/>
    <w:rsid w:val="009116E7"/>
    <w:rsid w:val="00936FB1"/>
    <w:rsid w:val="00966E0D"/>
    <w:rsid w:val="009F48A5"/>
    <w:rsid w:val="009F7A5C"/>
    <w:rsid w:val="00A25E4E"/>
    <w:rsid w:val="00A5451E"/>
    <w:rsid w:val="00A57067"/>
    <w:rsid w:val="00A71A38"/>
    <w:rsid w:val="00A90A79"/>
    <w:rsid w:val="00AB2898"/>
    <w:rsid w:val="00AB3628"/>
    <w:rsid w:val="00AC106A"/>
    <w:rsid w:val="00B46DED"/>
    <w:rsid w:val="00B80B09"/>
    <w:rsid w:val="00BC12AE"/>
    <w:rsid w:val="00CC4BED"/>
    <w:rsid w:val="00CD4B3C"/>
    <w:rsid w:val="00DB4439"/>
    <w:rsid w:val="00E22F50"/>
    <w:rsid w:val="00E33222"/>
    <w:rsid w:val="00E5615B"/>
    <w:rsid w:val="00E65E3D"/>
    <w:rsid w:val="00E66813"/>
    <w:rsid w:val="00EC4204"/>
    <w:rsid w:val="00ED14A2"/>
    <w:rsid w:val="00ED4BBC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122356-1807-4CFB-84EA-79ADE11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Simples1">
    <w:name w:val="Plain Table 1"/>
    <w:basedOn w:val="Tabelanormal"/>
    <w:uiPriority w:val="41"/>
    <w:rsid w:val="00550F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4199-CB5D-4E13-A3DE-75D7095F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10</cp:revision>
  <cp:lastPrinted>2022-08-31T17:38:00Z</cp:lastPrinted>
  <dcterms:created xsi:type="dcterms:W3CDTF">2022-08-20T16:23:00Z</dcterms:created>
  <dcterms:modified xsi:type="dcterms:W3CDTF">2022-08-31T17:39:00Z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