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5300F1">
            <w:pPr>
              <w:rPr>
                <w:rFonts w:asciiTheme="minorHAnsi" w:hAnsiTheme="minorHAnsi" w:cstheme="minorHAnsi"/>
              </w:rPr>
            </w:pPr>
            <w:r>
              <w:rPr>
                <w:rFonts w:asciiTheme="minorHAnsi" w:hAnsiTheme="minorHAnsi" w:cstheme="minorHAnsi"/>
              </w:rPr>
              <w:t xml:space="preserve">Protocolo SICCAU nº </w:t>
            </w:r>
            <w:r w:rsidR="005300F1">
              <w:rPr>
                <w:rFonts w:asciiTheme="minorHAnsi" w:hAnsiTheme="minorHAnsi" w:cstheme="minorHAnsi"/>
              </w:rPr>
              <w:t>1568994</w:t>
            </w:r>
            <w:r w:rsidR="001A324A" w:rsidRPr="001A324A">
              <w:rPr>
                <w:rFonts w:asciiTheme="minorHAnsi" w:hAnsiTheme="minorHAnsi" w:cstheme="minorHAnsi"/>
              </w:rPr>
              <w:t>/2022</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5300F1" w:rsidP="004102BE">
            <w:pPr>
              <w:widowControl w:val="0"/>
              <w:rPr>
                <w:rFonts w:asciiTheme="minorHAnsi" w:hAnsiTheme="minorHAnsi" w:cstheme="minorHAnsi"/>
                <w:bCs/>
                <w:lang w:eastAsia="pt-BR"/>
              </w:rPr>
            </w:pPr>
            <w:r>
              <w:rPr>
                <w:rFonts w:asciiTheme="minorHAnsi" w:hAnsiTheme="minorHAnsi" w:cstheme="minorHAnsi"/>
                <w:bCs/>
                <w:lang w:eastAsia="pt-BR"/>
              </w:rPr>
              <w:t>Comissão de Política Urbana e Ambiental</w:t>
            </w:r>
            <w:r w:rsidR="004102BE">
              <w:rPr>
                <w:rFonts w:asciiTheme="minorHAnsi" w:hAnsiTheme="minorHAnsi" w:cstheme="minorHAnsi"/>
                <w:bCs/>
                <w:lang w:eastAsia="pt-BR"/>
              </w:rPr>
              <w:t xml:space="preserve"> </w:t>
            </w:r>
            <w:r w:rsidR="00591B04">
              <w:rPr>
                <w:rFonts w:asciiTheme="minorHAnsi" w:hAnsiTheme="minorHAnsi" w:cstheme="minorHAnsi"/>
                <w:bCs/>
                <w:lang w:eastAsia="pt-BR"/>
              </w:rPr>
              <w:t xml:space="preserve">do </w:t>
            </w:r>
            <w:r w:rsidR="004102BE"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5300F1" w:rsidP="005300F1">
            <w:pPr>
              <w:widowControl w:val="0"/>
              <w:jc w:val="both"/>
              <w:rPr>
                <w:rFonts w:asciiTheme="minorHAnsi" w:hAnsiTheme="minorHAnsi" w:cstheme="minorHAnsi"/>
                <w:bCs/>
                <w:lang w:eastAsia="pt-BR"/>
              </w:rPr>
            </w:pPr>
            <w:r>
              <w:rPr>
                <w:rFonts w:asciiTheme="minorHAnsi" w:hAnsiTheme="minorHAnsi" w:cstheme="minorHAnsi"/>
                <w:bCs/>
                <w:lang w:eastAsia="pt-BR"/>
              </w:rPr>
              <w:t>Manifesto CAU/RS sobre Licenciamento Urbanístico</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1A324A">
        <w:rPr>
          <w:rFonts w:asciiTheme="minorHAnsi" w:hAnsiTheme="minorHAnsi" w:cstheme="minorHAnsi"/>
          <w:lang w:eastAsia="pt-BR"/>
        </w:rPr>
        <w:t>9</w:t>
      </w:r>
      <w:r w:rsidR="005300F1">
        <w:rPr>
          <w:rFonts w:asciiTheme="minorHAnsi" w:hAnsiTheme="minorHAnsi" w:cstheme="minorHAnsi"/>
          <w:lang w:eastAsia="pt-BR"/>
        </w:rPr>
        <w:t>4</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AB1E34" w:rsidRPr="00AB1E34" w:rsidRDefault="005300F1" w:rsidP="00AB1E34">
      <w:pPr>
        <w:ind w:left="6237"/>
        <w:jc w:val="both"/>
        <w:rPr>
          <w:rFonts w:asciiTheme="minorHAnsi" w:hAnsiTheme="minorHAnsi" w:cstheme="minorHAnsi"/>
          <w:sz w:val="20"/>
          <w:szCs w:val="22"/>
          <w:lang w:eastAsia="pt-BR"/>
        </w:rPr>
      </w:pPr>
      <w:r>
        <w:rPr>
          <w:rFonts w:asciiTheme="minorHAnsi" w:hAnsiTheme="minorHAnsi" w:cstheme="minorHAnsi"/>
          <w:sz w:val="20"/>
          <w:szCs w:val="22"/>
          <w:lang w:eastAsia="pt-BR"/>
        </w:rPr>
        <w:t xml:space="preserve">Aprova manifestação do CAU/RS </w:t>
      </w:r>
      <w:r w:rsidRPr="005300F1">
        <w:rPr>
          <w:rFonts w:asciiTheme="minorHAnsi" w:hAnsiTheme="minorHAnsi" w:cstheme="minorHAnsi"/>
          <w:sz w:val="20"/>
          <w:szCs w:val="22"/>
          <w:lang w:eastAsia="pt-BR"/>
        </w:rPr>
        <w:t>sobre os processos de licenciamento de projetos e obras</w:t>
      </w:r>
      <w:r w:rsidR="00BB1D6E">
        <w:rPr>
          <w:rFonts w:asciiTheme="minorHAnsi" w:hAnsiTheme="minorHAnsi" w:cstheme="minorHAnsi"/>
          <w:sz w:val="20"/>
          <w:szCs w:val="22"/>
          <w:lang w:eastAsia="pt-BR"/>
        </w:rPr>
        <w:t xml:space="preserve"> e </w:t>
      </w:r>
      <w:r w:rsidRPr="005300F1">
        <w:rPr>
          <w:rFonts w:asciiTheme="minorHAnsi" w:hAnsiTheme="minorHAnsi" w:cstheme="minorHAnsi"/>
          <w:sz w:val="20"/>
          <w:szCs w:val="22"/>
          <w:lang w:eastAsia="pt-BR"/>
        </w:rPr>
        <w:t>o equívoco do ‘</w:t>
      </w:r>
      <w:r w:rsidR="00982265" w:rsidRPr="005300F1">
        <w:rPr>
          <w:rFonts w:asciiTheme="minorHAnsi" w:hAnsiTheme="minorHAnsi" w:cstheme="minorHAnsi"/>
          <w:sz w:val="20"/>
          <w:szCs w:val="22"/>
          <w:lang w:eastAsia="pt-BR"/>
        </w:rPr>
        <w:t>auto licenciamento</w:t>
      </w:r>
      <w:r w:rsidRPr="005300F1">
        <w:rPr>
          <w:rFonts w:asciiTheme="minorHAnsi" w:hAnsiTheme="minorHAnsi" w:cstheme="minorHAnsi"/>
          <w:sz w:val="20"/>
          <w:szCs w:val="22"/>
          <w:lang w:eastAsia="pt-BR"/>
        </w:rPr>
        <w:t>’</w:t>
      </w:r>
      <w:r w:rsidR="00BB1D6E">
        <w:rPr>
          <w:rFonts w:asciiTheme="minorHAnsi" w:hAnsiTheme="minorHAnsi" w:cstheme="minorHAnsi"/>
          <w:sz w:val="20"/>
          <w:szCs w:val="22"/>
          <w:lang w:eastAsia="pt-BR"/>
        </w:rPr>
        <w:t xml:space="preserve"> </w:t>
      </w:r>
      <w:bookmarkStart w:id="0" w:name="_GoBack"/>
      <w:bookmarkEnd w:id="0"/>
      <w:r w:rsidR="00787FB9">
        <w:rPr>
          <w:rFonts w:asciiTheme="minorHAnsi" w:hAnsiTheme="minorHAnsi" w:cstheme="minorHAnsi"/>
          <w:sz w:val="20"/>
          <w:szCs w:val="22"/>
          <w:lang w:eastAsia="pt-BR"/>
        </w:rPr>
        <w:t>e dá outras providências.</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Pr="00982C8E" w:rsidRDefault="00ED7FDA" w:rsidP="00A57067">
      <w:pPr>
        <w:tabs>
          <w:tab w:val="left" w:pos="3544"/>
        </w:tabs>
        <w:jc w:val="both"/>
        <w:rPr>
          <w:rFonts w:asciiTheme="minorHAnsi" w:hAnsiTheme="minorHAnsi" w:cstheme="minorHAnsi"/>
          <w:lang w:eastAsia="pt-BR"/>
        </w:rPr>
      </w:pPr>
      <w:r w:rsidRPr="00982C8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982C8E">
        <w:rPr>
          <w:rFonts w:asciiTheme="minorHAnsi" w:hAnsiTheme="minorHAnsi" w:cstheme="minorHAnsi"/>
          <w:lang w:eastAsia="pt-BR"/>
        </w:rPr>
        <w:t>Fecomércio</w:t>
      </w:r>
      <w:proofErr w:type="spellEnd"/>
      <w:r w:rsidRPr="00982C8E">
        <w:rPr>
          <w:rFonts w:asciiTheme="minorHAnsi" w:hAnsiTheme="minorHAnsi" w:cstheme="minorHAnsi"/>
          <w:lang w:eastAsia="pt-BR"/>
        </w:rPr>
        <w:t xml:space="preserve">, 101 – Bairro Anchieta, Porto Alegre – RS, no dia </w:t>
      </w:r>
      <w:r w:rsidR="00274BF8" w:rsidRPr="00982C8E">
        <w:rPr>
          <w:rFonts w:asciiTheme="minorHAnsi" w:hAnsiTheme="minorHAnsi" w:cstheme="minorHAnsi"/>
          <w:lang w:eastAsia="pt-BR"/>
        </w:rPr>
        <w:t>29</w:t>
      </w:r>
      <w:r w:rsidR="006F72F5" w:rsidRPr="00982C8E">
        <w:rPr>
          <w:rFonts w:asciiTheme="minorHAnsi" w:hAnsiTheme="minorHAnsi" w:cstheme="minorHAnsi"/>
          <w:lang w:eastAsia="pt-BR"/>
        </w:rPr>
        <w:t xml:space="preserve"> de ju</w:t>
      </w:r>
      <w:r w:rsidR="00274BF8" w:rsidRPr="00982C8E">
        <w:rPr>
          <w:rFonts w:asciiTheme="minorHAnsi" w:hAnsiTheme="minorHAnsi" w:cstheme="minorHAnsi"/>
          <w:lang w:eastAsia="pt-BR"/>
        </w:rPr>
        <w:t>l</w:t>
      </w:r>
      <w:r w:rsidR="006F72F5" w:rsidRPr="00982C8E">
        <w:rPr>
          <w:rFonts w:asciiTheme="minorHAnsi" w:hAnsiTheme="minorHAnsi" w:cstheme="minorHAnsi"/>
          <w:lang w:eastAsia="pt-BR"/>
        </w:rPr>
        <w:t>ho</w:t>
      </w:r>
      <w:r w:rsidR="001A2002" w:rsidRPr="00982C8E">
        <w:rPr>
          <w:rFonts w:asciiTheme="minorHAnsi" w:hAnsiTheme="minorHAnsi" w:cstheme="minorHAnsi"/>
          <w:lang w:eastAsia="pt-BR"/>
        </w:rPr>
        <w:t xml:space="preserve"> </w:t>
      </w:r>
      <w:r w:rsidRPr="00982C8E">
        <w:rPr>
          <w:rFonts w:asciiTheme="minorHAnsi" w:hAnsiTheme="minorHAnsi" w:cstheme="minorHAnsi"/>
          <w:lang w:eastAsia="pt-BR"/>
        </w:rPr>
        <w:t>de 202</w:t>
      </w:r>
      <w:r w:rsidR="0020210B" w:rsidRPr="00982C8E">
        <w:rPr>
          <w:rFonts w:asciiTheme="minorHAnsi" w:hAnsiTheme="minorHAnsi" w:cstheme="minorHAnsi"/>
          <w:lang w:eastAsia="pt-BR"/>
        </w:rPr>
        <w:t>2</w:t>
      </w:r>
      <w:r w:rsidRPr="00982C8E">
        <w:rPr>
          <w:rFonts w:asciiTheme="minorHAnsi" w:hAnsiTheme="minorHAnsi" w:cstheme="minorHAnsi"/>
          <w:lang w:eastAsia="pt-BR"/>
        </w:rPr>
        <w:t>, após análise do assunto em epígrafe, e</w:t>
      </w:r>
    </w:p>
    <w:p w:rsidR="00127DCE" w:rsidRPr="00982C8E" w:rsidRDefault="00127DCE" w:rsidP="00A57067">
      <w:pPr>
        <w:tabs>
          <w:tab w:val="left" w:pos="3544"/>
        </w:tabs>
        <w:jc w:val="both"/>
        <w:rPr>
          <w:rFonts w:asciiTheme="minorHAnsi" w:hAnsiTheme="minorHAnsi" w:cstheme="minorHAnsi"/>
          <w:lang w:eastAsia="pt-BR"/>
        </w:rPr>
      </w:pPr>
    </w:p>
    <w:p w:rsidR="005300F1" w:rsidRPr="00982C8E"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Considerando que o tema relacionado a</w:t>
      </w:r>
      <w:r w:rsidRPr="00982C8E">
        <w:rPr>
          <w:rFonts w:asciiTheme="minorHAnsi" w:hAnsiTheme="minorHAnsi" w:cstheme="minorHAnsi"/>
          <w:lang w:eastAsia="pt-BR"/>
        </w:rPr>
        <w:t>os processos de licenciamento de projetos e obras</w:t>
      </w:r>
      <w:r w:rsidRPr="00982C8E">
        <w:rPr>
          <w:rFonts w:asciiTheme="minorHAnsi" w:hAnsiTheme="minorHAnsi" w:cstheme="minorHAnsi"/>
        </w:rPr>
        <w:t xml:space="preserve"> tem sido amplamente discutido em âmbito estadual e nacional;</w:t>
      </w:r>
    </w:p>
    <w:p w:rsidR="005300F1" w:rsidRPr="00982C8E"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Considerando o Ofício PRES-CAU/RS nº075/2021, o qual manifesta o entendimento do CAU/RS sobre a Resolução CGSIM nº64, encaminhado ao CAU Brasil, Protocolo SICCAU nº 1257761;</w:t>
      </w:r>
    </w:p>
    <w:p w:rsidR="005300F1" w:rsidRPr="00982C8E"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Considerando a necessidade de estabelecimento de um regulamento padronizado, nos âmbitos estadual e nacional, acerca dos procedimentos mínimos e imprescindíveis para atuação em processo de licenciamento de obras;</w:t>
      </w:r>
    </w:p>
    <w:p w:rsidR="005300F1" w:rsidRPr="00982C8E"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Considerando a necessidade de serem identificadas, além das responsabilidades dos profissionais demandantes, aquelas de responsabilidade pelo órgão público competente;</w:t>
      </w:r>
    </w:p>
    <w:p w:rsidR="005300F1" w:rsidRPr="00982C8E"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 xml:space="preserve">Considerando que a análise realizada pelo agente público dos projetos submetidos à aprovação pode ser caracteriza como medida de segurança preventiva, visto que erros </w:t>
      </w:r>
      <w:proofErr w:type="spellStart"/>
      <w:r w:rsidRPr="00982C8E">
        <w:rPr>
          <w:rFonts w:asciiTheme="minorHAnsi" w:hAnsiTheme="minorHAnsi" w:cstheme="minorHAnsi"/>
        </w:rPr>
        <w:t>projetuais</w:t>
      </w:r>
      <w:proofErr w:type="spellEnd"/>
      <w:r w:rsidRPr="00982C8E">
        <w:rPr>
          <w:rFonts w:asciiTheme="minorHAnsi" w:hAnsiTheme="minorHAnsi" w:cstheme="minorHAnsi"/>
        </w:rPr>
        <w:t xml:space="preserve"> podem ocasionar, eventualmente, risco aos usuários concernentes à saúde, segurança e/ou ao meio ambiente;</w:t>
      </w:r>
    </w:p>
    <w:p w:rsidR="005300F1" w:rsidRDefault="005300F1" w:rsidP="005300F1">
      <w:pPr>
        <w:tabs>
          <w:tab w:val="left" w:pos="1418"/>
        </w:tabs>
        <w:spacing w:after="120" w:line="276" w:lineRule="auto"/>
        <w:jc w:val="both"/>
        <w:rPr>
          <w:rFonts w:asciiTheme="minorHAnsi" w:hAnsiTheme="minorHAnsi" w:cstheme="minorHAnsi"/>
        </w:rPr>
      </w:pPr>
      <w:r w:rsidRPr="00982C8E">
        <w:rPr>
          <w:rFonts w:asciiTheme="minorHAnsi" w:hAnsiTheme="minorHAnsi" w:cstheme="minorHAnsi"/>
        </w:rPr>
        <w:t xml:space="preserve">Considerando que a inércia ou a inação dos órgãos responsáveis pelo desempenho de determinadas funções técnicas, podem gerar problemas graves, expondo, inclusive, a comunidade a riscos ou danos materiais, tanto à segurança, quanto </w:t>
      </w:r>
      <w:r w:rsidR="00982265" w:rsidRPr="00982C8E">
        <w:rPr>
          <w:rFonts w:asciiTheme="minorHAnsi" w:hAnsiTheme="minorHAnsi" w:cstheme="minorHAnsi"/>
        </w:rPr>
        <w:t xml:space="preserve">à saúde e ao meio ambiente, </w:t>
      </w:r>
      <w:r w:rsidRPr="00982C8E">
        <w:rPr>
          <w:rFonts w:asciiTheme="minorHAnsi" w:hAnsiTheme="minorHAnsi" w:cstheme="minorHAnsi"/>
        </w:rPr>
        <w:t>incluindo-se aqui</w:t>
      </w:r>
      <w:r w:rsidR="00982265" w:rsidRPr="00982C8E">
        <w:rPr>
          <w:rFonts w:asciiTheme="minorHAnsi" w:hAnsiTheme="minorHAnsi" w:cstheme="minorHAnsi"/>
        </w:rPr>
        <w:t xml:space="preserve">, </w:t>
      </w:r>
      <w:r w:rsidRPr="00982C8E">
        <w:rPr>
          <w:rFonts w:asciiTheme="minorHAnsi" w:hAnsiTheme="minorHAnsi" w:cstheme="minorHAnsi"/>
        </w:rPr>
        <w:t>não só o profissional habilitado, mas também o agente público responsável pela aprovação de projetos ou pela concessão de licença para construir;</w:t>
      </w:r>
    </w:p>
    <w:p w:rsidR="00BB1D6E" w:rsidRPr="00982C8E" w:rsidRDefault="00BB1D6E" w:rsidP="005300F1">
      <w:pPr>
        <w:tabs>
          <w:tab w:val="left" w:pos="1418"/>
        </w:tabs>
        <w:spacing w:after="120" w:line="276" w:lineRule="auto"/>
        <w:jc w:val="both"/>
        <w:rPr>
          <w:rFonts w:asciiTheme="minorHAnsi" w:hAnsiTheme="minorHAnsi" w:cstheme="minorHAnsi"/>
        </w:rPr>
      </w:pPr>
    </w:p>
    <w:p w:rsidR="00AC106A" w:rsidRPr="00982C8E" w:rsidRDefault="004F4077" w:rsidP="00591B04">
      <w:pPr>
        <w:suppressAutoHyphens/>
        <w:autoSpaceDN w:val="0"/>
        <w:ind w:right="-285"/>
        <w:jc w:val="both"/>
        <w:textAlignment w:val="baseline"/>
        <w:rPr>
          <w:rFonts w:asciiTheme="minorHAnsi" w:hAnsiTheme="minorHAnsi" w:cstheme="minorHAnsi"/>
          <w:b/>
          <w:lang w:eastAsia="pt-BR"/>
        </w:rPr>
      </w:pPr>
      <w:r w:rsidRPr="00982C8E">
        <w:rPr>
          <w:rFonts w:asciiTheme="minorHAnsi" w:hAnsiTheme="minorHAnsi" w:cstheme="minorHAnsi"/>
          <w:b/>
          <w:lang w:eastAsia="pt-BR"/>
        </w:rPr>
        <w:t>DELIBEROU</w:t>
      </w:r>
      <w:r w:rsidR="00766FE1" w:rsidRPr="00982C8E">
        <w:rPr>
          <w:rFonts w:asciiTheme="minorHAnsi" w:hAnsiTheme="minorHAnsi" w:cstheme="minorHAnsi"/>
          <w:b/>
          <w:lang w:eastAsia="pt-BR"/>
        </w:rPr>
        <w:t xml:space="preserve"> por</w:t>
      </w:r>
      <w:r w:rsidRPr="00982C8E">
        <w:rPr>
          <w:rFonts w:asciiTheme="minorHAnsi" w:hAnsiTheme="minorHAnsi" w:cstheme="minorHAnsi"/>
          <w:b/>
          <w:lang w:eastAsia="pt-BR"/>
        </w:rPr>
        <w:t>:</w:t>
      </w:r>
    </w:p>
    <w:p w:rsidR="00155C1C" w:rsidRPr="00982C8E" w:rsidRDefault="00155C1C">
      <w:pPr>
        <w:jc w:val="both"/>
        <w:rPr>
          <w:rFonts w:asciiTheme="minorHAnsi" w:hAnsiTheme="minorHAnsi" w:cstheme="minorHAnsi"/>
          <w:b/>
          <w:lang w:eastAsia="pt-BR"/>
        </w:rPr>
      </w:pPr>
    </w:p>
    <w:p w:rsidR="00165499" w:rsidRPr="00982C8E" w:rsidRDefault="00982265" w:rsidP="00982265">
      <w:pPr>
        <w:pStyle w:val="PargrafodaLista"/>
        <w:numPr>
          <w:ilvl w:val="0"/>
          <w:numId w:val="4"/>
        </w:numPr>
        <w:contextualSpacing w:val="0"/>
        <w:jc w:val="both"/>
        <w:rPr>
          <w:rFonts w:ascii="Calibri" w:hAnsi="Calibri" w:cs="Calibri"/>
          <w:lang w:eastAsia="pt-BR"/>
        </w:rPr>
      </w:pPr>
      <w:r w:rsidRPr="00982C8E">
        <w:rPr>
          <w:rFonts w:ascii="Calibri" w:hAnsi="Calibri" w:cs="Calibri"/>
          <w:lang w:eastAsia="pt-BR"/>
        </w:rPr>
        <w:t>Aprovar manifestação do CAU/RS sobre os processos de licenciamento de projetos e obras e o equívoco do ‘auto licenciamento’ com a excessiva responsabilização do profissional, conforme anexo desta deliberação;</w:t>
      </w:r>
    </w:p>
    <w:p w:rsidR="00982265" w:rsidRPr="00982C8E" w:rsidRDefault="00982265" w:rsidP="00982265">
      <w:pPr>
        <w:pStyle w:val="PargrafodaLista"/>
        <w:contextualSpacing w:val="0"/>
        <w:jc w:val="both"/>
        <w:rPr>
          <w:rFonts w:ascii="Calibri" w:hAnsi="Calibri" w:cs="Calibri"/>
          <w:lang w:eastAsia="pt-BR"/>
        </w:rPr>
      </w:pPr>
    </w:p>
    <w:p w:rsidR="00982265" w:rsidRDefault="00982265" w:rsidP="00982265">
      <w:pPr>
        <w:pStyle w:val="PargrafodaLista"/>
        <w:numPr>
          <w:ilvl w:val="0"/>
          <w:numId w:val="4"/>
        </w:numPr>
        <w:contextualSpacing w:val="0"/>
        <w:jc w:val="both"/>
        <w:rPr>
          <w:rFonts w:ascii="Calibri" w:hAnsi="Calibri" w:cs="Calibri"/>
          <w:lang w:eastAsia="pt-BR"/>
        </w:rPr>
      </w:pPr>
      <w:r w:rsidRPr="00982C8E">
        <w:rPr>
          <w:rFonts w:ascii="Calibri" w:hAnsi="Calibri" w:cs="Calibri"/>
          <w:lang w:eastAsia="pt-BR"/>
        </w:rPr>
        <w:t>Determinar o envio da presente deliberação à Gerência de Comunicação para providências quanto à publicação da referida manifestação;</w:t>
      </w:r>
    </w:p>
    <w:p w:rsidR="00982C8E" w:rsidRPr="00982C8E" w:rsidRDefault="00982C8E" w:rsidP="00982C8E">
      <w:pPr>
        <w:pStyle w:val="PargrafodaLista"/>
        <w:rPr>
          <w:rFonts w:ascii="Calibri" w:hAnsi="Calibri" w:cs="Calibri"/>
          <w:lang w:eastAsia="pt-BR"/>
        </w:rPr>
      </w:pPr>
    </w:p>
    <w:p w:rsidR="00982C8E" w:rsidRPr="00982C8E" w:rsidRDefault="00982C8E" w:rsidP="00982C8E">
      <w:pPr>
        <w:pStyle w:val="PargrafodaLista"/>
        <w:contextualSpacing w:val="0"/>
        <w:jc w:val="both"/>
        <w:rPr>
          <w:rFonts w:ascii="Calibri" w:hAnsi="Calibri" w:cs="Calibri"/>
          <w:lang w:eastAsia="pt-BR"/>
        </w:rPr>
      </w:pPr>
    </w:p>
    <w:p w:rsidR="00507DD9" w:rsidRPr="00982C8E" w:rsidRDefault="004F4077">
      <w:pPr>
        <w:pStyle w:val="PargrafodaLista"/>
        <w:ind w:left="0"/>
        <w:jc w:val="both"/>
        <w:rPr>
          <w:rFonts w:asciiTheme="minorHAnsi" w:hAnsiTheme="minorHAnsi" w:cstheme="minorHAnsi"/>
          <w:u w:val="single"/>
          <w:lang w:eastAsia="pt-BR"/>
        </w:rPr>
      </w:pPr>
      <w:r w:rsidRPr="00982C8E">
        <w:rPr>
          <w:rFonts w:asciiTheme="minorHAnsi" w:hAnsiTheme="minorHAnsi" w:cstheme="minorHAnsi"/>
          <w:u w:val="single"/>
          <w:lang w:eastAsia="pt-BR"/>
        </w:rPr>
        <w:t xml:space="preserve">Esta deliberação entra em vigor na data de sua publicação. </w:t>
      </w:r>
    </w:p>
    <w:p w:rsidR="009F48A5" w:rsidRPr="00982C8E" w:rsidRDefault="009F48A5" w:rsidP="008037A5">
      <w:pPr>
        <w:pStyle w:val="PargrafodaLista"/>
        <w:tabs>
          <w:tab w:val="left" w:pos="3969"/>
        </w:tabs>
        <w:ind w:left="0"/>
        <w:jc w:val="center"/>
        <w:rPr>
          <w:rFonts w:asciiTheme="minorHAnsi" w:hAnsiTheme="minorHAnsi" w:cstheme="minorHAnsi"/>
          <w:u w:val="single"/>
          <w:lang w:eastAsia="pt-BR"/>
        </w:rPr>
      </w:pPr>
    </w:p>
    <w:p w:rsidR="00982C8E" w:rsidRPr="00734A5A" w:rsidRDefault="00982C8E" w:rsidP="00982C8E">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19</w:t>
      </w:r>
      <w:r w:rsidRPr="008F1E06">
        <w:rPr>
          <w:rFonts w:asciiTheme="minorHAnsi" w:hAnsiTheme="minorHAnsi" w:cstheme="minorHAnsi"/>
          <w:color w:val="000000"/>
        </w:rPr>
        <w:t xml:space="preserve"> (</w:t>
      </w:r>
      <w:r>
        <w:rPr>
          <w:rFonts w:asciiTheme="minorHAnsi" w:hAnsiTheme="minorHAnsi" w:cstheme="minorHAnsi"/>
          <w:color w:val="000000"/>
        </w:rPr>
        <w:t>dezenove</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w:t>
      </w:r>
      <w:proofErr w:type="spellStart"/>
      <w:r w:rsidRPr="008F1E06">
        <w:rPr>
          <w:rFonts w:asciiTheme="minorHAnsi" w:hAnsiTheme="minorHAnsi" w:cstheme="minorHAnsi"/>
          <w:color w:val="000000"/>
        </w:rPr>
        <w:t>Barakat</w:t>
      </w:r>
      <w:proofErr w:type="spellEnd"/>
      <w:r w:rsidRPr="008F1E06">
        <w:rPr>
          <w:rFonts w:asciiTheme="minorHAnsi" w:hAnsiTheme="minorHAnsi" w:cstheme="minorHAnsi"/>
          <w:color w:val="000000"/>
        </w:rPr>
        <w:t xml:space="preserve">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Mesquita Pedone, Emilio Merino, Fábio Müller, Fausto Henrique Steffen, Rafael Ártico, Rinaldo Ferreira Barbosa e Rodrigo Spinelli; e 0</w:t>
      </w:r>
      <w:r w:rsidR="00B212FF">
        <w:rPr>
          <w:rFonts w:asciiTheme="minorHAnsi" w:hAnsiTheme="minorHAnsi" w:cstheme="minorHAnsi"/>
        </w:rPr>
        <w:t>3</w:t>
      </w:r>
      <w:r w:rsidRPr="008F1E06">
        <w:rPr>
          <w:rFonts w:asciiTheme="minorHAnsi" w:hAnsiTheme="minorHAnsi" w:cstheme="minorHAnsi"/>
        </w:rPr>
        <w:t xml:space="preserve"> (</w:t>
      </w:r>
      <w:r w:rsidR="00B212FF">
        <w:rPr>
          <w:rFonts w:asciiTheme="minorHAnsi" w:hAnsiTheme="minorHAnsi" w:cstheme="minorHAnsi"/>
        </w:rPr>
        <w:t>três</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sidRPr="008F1E06">
        <w:rPr>
          <w:rFonts w:asciiTheme="minorHAnsi" w:hAnsiTheme="minorHAnsi" w:cstheme="minorHAnsi"/>
          <w:color w:val="000000"/>
        </w:rPr>
        <w:t>.</w:t>
      </w:r>
    </w:p>
    <w:p w:rsidR="00507DD9" w:rsidRPr="00982C8E" w:rsidRDefault="00507DD9">
      <w:pPr>
        <w:pStyle w:val="PargrafodaLista"/>
        <w:ind w:left="0" w:right="133"/>
        <w:jc w:val="center"/>
        <w:rPr>
          <w:rFonts w:asciiTheme="minorHAnsi" w:hAnsiTheme="minorHAnsi" w:cstheme="minorHAnsi"/>
        </w:rPr>
      </w:pPr>
    </w:p>
    <w:p w:rsidR="001A324A" w:rsidRPr="00982C8E" w:rsidRDefault="001A324A">
      <w:pPr>
        <w:pStyle w:val="PargrafodaLista"/>
        <w:ind w:left="0" w:right="133"/>
        <w:jc w:val="center"/>
        <w:rPr>
          <w:rFonts w:asciiTheme="minorHAnsi" w:hAnsiTheme="minorHAnsi" w:cstheme="minorHAnsi"/>
        </w:rPr>
      </w:pPr>
    </w:p>
    <w:p w:rsidR="00871AD5" w:rsidRPr="00982C8E" w:rsidRDefault="00871AD5" w:rsidP="00871AD5">
      <w:pPr>
        <w:jc w:val="center"/>
        <w:rPr>
          <w:rFonts w:asciiTheme="minorHAnsi" w:hAnsiTheme="minorHAnsi" w:cstheme="minorHAnsi"/>
        </w:rPr>
      </w:pPr>
      <w:r w:rsidRPr="00982C8E">
        <w:rPr>
          <w:rFonts w:asciiTheme="minorHAnsi" w:hAnsiTheme="minorHAnsi" w:cstheme="minorHAnsi"/>
        </w:rPr>
        <w:t xml:space="preserve">Porto Alegre – RS, </w:t>
      </w:r>
      <w:r w:rsidR="00867F97" w:rsidRPr="00982C8E">
        <w:rPr>
          <w:rFonts w:asciiTheme="minorHAnsi" w:hAnsiTheme="minorHAnsi" w:cstheme="minorHAnsi"/>
        </w:rPr>
        <w:t xml:space="preserve">29 de julho </w:t>
      </w:r>
      <w:r w:rsidRPr="00982C8E">
        <w:rPr>
          <w:rFonts w:asciiTheme="minorHAnsi" w:hAnsiTheme="minorHAnsi" w:cstheme="minorHAnsi"/>
        </w:rPr>
        <w:t>de 2022.</w:t>
      </w:r>
    </w:p>
    <w:p w:rsidR="00871AD5" w:rsidRPr="00982C8E" w:rsidRDefault="00871AD5" w:rsidP="00871AD5">
      <w:pPr>
        <w:jc w:val="center"/>
        <w:rPr>
          <w:rFonts w:asciiTheme="minorHAnsi" w:hAnsiTheme="minorHAnsi" w:cstheme="minorHAnsi"/>
        </w:rPr>
      </w:pPr>
    </w:p>
    <w:p w:rsidR="003347BC" w:rsidRPr="00982C8E" w:rsidRDefault="003347BC" w:rsidP="00871AD5">
      <w:pPr>
        <w:jc w:val="center"/>
        <w:rPr>
          <w:rFonts w:asciiTheme="minorHAnsi" w:hAnsiTheme="minorHAnsi" w:cstheme="minorHAnsi"/>
        </w:rPr>
      </w:pPr>
    </w:p>
    <w:p w:rsidR="003347BC" w:rsidRPr="00982C8E" w:rsidRDefault="003347BC" w:rsidP="00871AD5">
      <w:pPr>
        <w:jc w:val="center"/>
        <w:rPr>
          <w:rFonts w:asciiTheme="minorHAnsi" w:hAnsiTheme="minorHAnsi" w:cstheme="minorHAnsi"/>
        </w:rPr>
      </w:pPr>
    </w:p>
    <w:p w:rsidR="00871AD5" w:rsidRPr="00982C8E" w:rsidRDefault="00871AD5" w:rsidP="00871AD5">
      <w:pPr>
        <w:jc w:val="center"/>
        <w:rPr>
          <w:rFonts w:asciiTheme="minorHAnsi" w:hAnsiTheme="minorHAnsi" w:cstheme="minorHAnsi"/>
        </w:rPr>
      </w:pPr>
    </w:p>
    <w:p w:rsidR="00871AD5" w:rsidRPr="00982C8E" w:rsidRDefault="00871AD5" w:rsidP="00871AD5">
      <w:pPr>
        <w:jc w:val="center"/>
        <w:rPr>
          <w:rFonts w:asciiTheme="minorHAnsi" w:hAnsiTheme="minorHAnsi" w:cstheme="minorHAnsi"/>
        </w:rPr>
      </w:pPr>
    </w:p>
    <w:p w:rsidR="00871AD5" w:rsidRPr="00982C8E" w:rsidRDefault="00871AD5" w:rsidP="00871AD5">
      <w:pPr>
        <w:jc w:val="center"/>
        <w:rPr>
          <w:rFonts w:asciiTheme="minorHAnsi" w:hAnsiTheme="minorHAnsi" w:cstheme="minorHAnsi"/>
          <w:b/>
        </w:rPr>
      </w:pPr>
      <w:r w:rsidRPr="00982C8E">
        <w:rPr>
          <w:rFonts w:asciiTheme="minorHAnsi" w:hAnsiTheme="minorHAnsi" w:cstheme="minorHAnsi"/>
        </w:rPr>
        <w:tab/>
      </w:r>
      <w:r w:rsidRPr="00982C8E">
        <w:rPr>
          <w:rFonts w:asciiTheme="minorHAnsi" w:hAnsiTheme="minorHAnsi" w:cstheme="minorHAnsi"/>
          <w:b/>
        </w:rPr>
        <w:t xml:space="preserve">TIAGO HOLZMANN DA SILVA </w:t>
      </w:r>
      <w:r w:rsidRPr="00982C8E">
        <w:rPr>
          <w:rFonts w:asciiTheme="minorHAnsi" w:hAnsiTheme="minorHAnsi" w:cstheme="minorHAnsi"/>
          <w:b/>
        </w:rPr>
        <w:tab/>
      </w:r>
    </w:p>
    <w:p w:rsidR="00507DD9" w:rsidRPr="00982C8E" w:rsidRDefault="00871AD5" w:rsidP="00871AD5">
      <w:pPr>
        <w:jc w:val="center"/>
        <w:rPr>
          <w:rFonts w:asciiTheme="minorHAnsi" w:hAnsiTheme="minorHAnsi" w:cstheme="minorHAnsi"/>
        </w:rPr>
        <w:sectPr w:rsidR="00507DD9" w:rsidRPr="00982C8E"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982C8E">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9A084E">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D66EB1">
              <w:rPr>
                <w:rFonts w:asciiTheme="minorHAnsi" w:eastAsia="Times New Roman" w:hAnsiTheme="minorHAnsi" w:cstheme="minorHAnsi"/>
                <w:sz w:val="22"/>
                <w:szCs w:val="22"/>
                <w:lang w:eastAsia="pt-BR"/>
              </w:rPr>
              <w:t>149</w:t>
            </w:r>
            <w:r w:rsidR="009A084E">
              <w:rPr>
                <w:rFonts w:asciiTheme="minorHAnsi" w:eastAsia="Times New Roman" w:hAnsiTheme="minorHAnsi" w:cstheme="minorHAnsi"/>
                <w:sz w:val="22"/>
                <w:szCs w:val="22"/>
                <w:lang w:eastAsia="pt-BR"/>
              </w:rPr>
              <w:t>4</w:t>
            </w:r>
            <w:r w:rsidRPr="009116E7">
              <w:rPr>
                <w:rFonts w:asciiTheme="minorHAnsi" w:eastAsia="Times New Roman" w:hAnsiTheme="minorHAnsi" w:cstheme="minorHAnsi"/>
                <w:sz w:val="22"/>
                <w:szCs w:val="22"/>
                <w:lang w:eastAsia="pt-BR"/>
              </w:rPr>
              <w:t>/2022 - Protocolo nº</w:t>
            </w:r>
            <w:r w:rsidR="001A324A">
              <w:rPr>
                <w:rFonts w:asciiTheme="minorHAnsi" w:eastAsia="Times New Roman" w:hAnsiTheme="minorHAnsi" w:cstheme="minorHAnsi"/>
                <w:sz w:val="22"/>
                <w:szCs w:val="22"/>
                <w:lang w:eastAsia="pt-BR"/>
              </w:rPr>
              <w:t xml:space="preserve"> </w:t>
            </w:r>
            <w:r w:rsidR="009A084E">
              <w:rPr>
                <w:rFonts w:asciiTheme="minorHAnsi" w:eastAsia="Times New Roman" w:hAnsiTheme="minorHAnsi" w:cstheme="minorHAnsi"/>
                <w:sz w:val="22"/>
                <w:szCs w:val="22"/>
                <w:lang w:eastAsia="pt-BR"/>
              </w:rPr>
              <w:t>1568994</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eastAsia="Times New Roman" w:hAnsi="Calibri" w:cs="Calibri"/>
                <w:b w:val="0"/>
                <w:sz w:val="22"/>
                <w:szCs w:val="22"/>
              </w:rPr>
            </w:pPr>
            <w:r w:rsidRPr="007C097E">
              <w:rPr>
                <w:rFonts w:ascii="Calibri" w:hAnsi="Calibri" w:cs="Calibri"/>
                <w:b w:val="0"/>
                <w:sz w:val="22"/>
                <w:szCs w:val="22"/>
              </w:rPr>
              <w:t>Alexandre Giorgi </w:t>
            </w:r>
          </w:p>
        </w:tc>
        <w:tc>
          <w:tcPr>
            <w:tcW w:w="1417" w:type="dxa"/>
            <w:vAlign w:val="center"/>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Aline Pedroso da Croce </w:t>
            </w:r>
          </w:p>
        </w:tc>
        <w:tc>
          <w:tcPr>
            <w:tcW w:w="1417" w:type="dxa"/>
            <w:vAlign w:val="center"/>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Andréa Larruscahim Hamilton Ilha</w:t>
            </w:r>
          </w:p>
        </w:tc>
        <w:tc>
          <w:tcPr>
            <w:tcW w:w="1417" w:type="dxa"/>
            <w:vAlign w:val="center"/>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Carlos Eduardo Iponema Costa </w:t>
            </w:r>
          </w:p>
        </w:tc>
        <w:tc>
          <w:tcPr>
            <w:tcW w:w="1417" w:type="dxa"/>
            <w:vAlign w:val="center"/>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Carlos Eduardo Mesquita Pedone</w:t>
            </w:r>
          </w:p>
        </w:tc>
        <w:tc>
          <w:tcPr>
            <w:tcW w:w="1417" w:type="dxa"/>
            <w:vAlign w:val="center"/>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Débora Francele Rodrigues da Silva</w:t>
            </w:r>
          </w:p>
        </w:tc>
        <w:tc>
          <w:tcPr>
            <w:tcW w:w="1417" w:type="dxa"/>
            <w:vAlign w:val="center"/>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Deise Flores</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Denise dos Santos Simões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Emílio Merino</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Evelise Jaime de Menezes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Fábio Müller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Fausto Henrique Steffen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Gislaine Vargas Saibro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Ingrid Louise de Souza Dahm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Lidia Glacir Gomes Rodrigues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Magali Mingotti </w:t>
            </w:r>
          </w:p>
        </w:tc>
        <w:tc>
          <w:tcPr>
            <w:tcW w:w="1417" w:type="dxa"/>
            <w:vAlign w:val="center"/>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Márcia Elizabeth Martins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Orildes Tres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Rafael Ártico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Rinaldo Ferreira Barbosa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C097E" w:rsidRPr="009116E7" w:rsidTr="004044C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Rodrigo Spinelli </w:t>
            </w:r>
          </w:p>
        </w:tc>
        <w:tc>
          <w:tcPr>
            <w:tcW w:w="1417" w:type="dxa"/>
          </w:tcPr>
          <w:p w:rsidR="007C097E" w:rsidRDefault="007C097E" w:rsidP="007C097E">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7C097E" w:rsidRPr="00A90A79" w:rsidRDefault="007C097E" w:rsidP="007C09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7C097E" w:rsidRPr="009116E7" w:rsidTr="004044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7C097E" w:rsidRPr="007C097E" w:rsidRDefault="007C097E" w:rsidP="007C097E">
            <w:pPr>
              <w:pStyle w:val="PargrafodaLista"/>
              <w:numPr>
                <w:ilvl w:val="0"/>
                <w:numId w:val="21"/>
              </w:numPr>
              <w:ind w:left="454"/>
              <w:rPr>
                <w:rFonts w:ascii="Calibri" w:hAnsi="Calibri" w:cs="Calibri"/>
                <w:b w:val="0"/>
                <w:sz w:val="22"/>
                <w:szCs w:val="22"/>
              </w:rPr>
            </w:pPr>
            <w:r w:rsidRPr="007C097E">
              <w:rPr>
                <w:rFonts w:ascii="Calibri" w:hAnsi="Calibri" w:cs="Calibri"/>
                <w:b w:val="0"/>
                <w:sz w:val="22"/>
                <w:szCs w:val="22"/>
              </w:rPr>
              <w:t xml:space="preserve">Sílvia Monteiro </w:t>
            </w:r>
            <w:proofErr w:type="spellStart"/>
            <w:r w:rsidRPr="007C097E">
              <w:rPr>
                <w:rFonts w:ascii="Calibri" w:hAnsi="Calibri" w:cs="Calibri"/>
                <w:b w:val="0"/>
                <w:sz w:val="22"/>
                <w:szCs w:val="22"/>
              </w:rPr>
              <w:t>Barakat</w:t>
            </w:r>
            <w:proofErr w:type="spellEnd"/>
            <w:r w:rsidRPr="007C097E">
              <w:rPr>
                <w:rFonts w:ascii="Calibri" w:hAnsi="Calibri" w:cs="Calibri"/>
                <w:b w:val="0"/>
                <w:sz w:val="22"/>
                <w:szCs w:val="22"/>
              </w:rPr>
              <w:t> </w:t>
            </w:r>
          </w:p>
        </w:tc>
        <w:tc>
          <w:tcPr>
            <w:tcW w:w="1417" w:type="dxa"/>
          </w:tcPr>
          <w:p w:rsidR="007C097E" w:rsidRDefault="007C097E" w:rsidP="007C097E">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7C097E" w:rsidRPr="00A90A79" w:rsidRDefault="007C097E" w:rsidP="007C097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A90A79" w:rsidRDefault="00A90A79" w:rsidP="008C57BF">
            <w:pPr>
              <w:jc w:val="center"/>
              <w:rPr>
                <w:rFonts w:asciiTheme="minorHAnsi" w:hAnsiTheme="minorHAnsi" w:cstheme="minorHAnsi"/>
                <w:sz w:val="22"/>
                <w:szCs w:val="22"/>
                <w:highlight w:val="yellow"/>
              </w:rPr>
            </w:pPr>
          </w:p>
        </w:tc>
        <w:tc>
          <w:tcPr>
            <w:tcW w:w="1418"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A084E"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Matéria em votação: DPO-RS </w:t>
            </w:r>
            <w:r w:rsidR="00D66EB1">
              <w:rPr>
                <w:rFonts w:asciiTheme="minorHAnsi" w:eastAsia="Times New Roman" w:hAnsiTheme="minorHAnsi" w:cstheme="minorHAnsi"/>
                <w:b/>
                <w:bCs/>
                <w:sz w:val="20"/>
                <w:szCs w:val="22"/>
                <w:lang w:eastAsia="pt-BR"/>
              </w:rPr>
              <w:t>149</w:t>
            </w:r>
            <w:r w:rsidR="009A084E">
              <w:rPr>
                <w:rFonts w:asciiTheme="minorHAnsi" w:eastAsia="Times New Roman" w:hAnsiTheme="minorHAnsi" w:cstheme="minorHAnsi"/>
                <w:b/>
                <w:bCs/>
                <w:sz w:val="20"/>
                <w:szCs w:val="22"/>
                <w:lang w:eastAsia="pt-BR"/>
              </w:rPr>
              <w:t>4</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9A084E">
              <w:rPr>
                <w:rFonts w:asciiTheme="minorHAnsi" w:eastAsia="Times New Roman" w:hAnsiTheme="minorHAnsi" w:cstheme="minorHAnsi"/>
                <w:bCs/>
                <w:sz w:val="20"/>
                <w:szCs w:val="22"/>
                <w:lang w:eastAsia="pt-BR"/>
              </w:rPr>
              <w:t>Manifesto Licenciamento urbanístico</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82C8E">
              <w:rPr>
                <w:rFonts w:asciiTheme="minorHAnsi" w:eastAsia="Times New Roman" w:hAnsiTheme="minorHAnsi" w:cstheme="minorHAnsi"/>
                <w:b/>
                <w:bCs/>
                <w:sz w:val="20"/>
                <w:szCs w:val="22"/>
                <w:lang w:eastAsia="pt-BR"/>
              </w:rPr>
              <w:t xml:space="preserve">Resultado da votação: </w:t>
            </w:r>
            <w:r w:rsidR="009116E7" w:rsidRPr="00982C8E">
              <w:rPr>
                <w:rFonts w:asciiTheme="minorHAnsi" w:eastAsia="Times New Roman" w:hAnsiTheme="minorHAnsi" w:cstheme="minorHAnsi"/>
                <w:bCs/>
                <w:sz w:val="20"/>
                <w:szCs w:val="22"/>
                <w:lang w:eastAsia="pt-BR"/>
              </w:rPr>
              <w:t>Favoráve</w:t>
            </w:r>
            <w:r w:rsidR="00EE061E" w:rsidRPr="00982C8E">
              <w:rPr>
                <w:rFonts w:asciiTheme="minorHAnsi" w:eastAsia="Times New Roman" w:hAnsiTheme="minorHAnsi" w:cstheme="minorHAnsi"/>
                <w:bCs/>
                <w:sz w:val="20"/>
                <w:szCs w:val="22"/>
                <w:lang w:eastAsia="pt-BR"/>
              </w:rPr>
              <w:t>is (</w:t>
            </w:r>
            <w:r w:rsidR="00982C8E" w:rsidRPr="00982C8E">
              <w:rPr>
                <w:rFonts w:asciiTheme="minorHAnsi" w:eastAsia="Times New Roman" w:hAnsiTheme="minorHAnsi" w:cstheme="minorHAnsi"/>
                <w:bCs/>
                <w:sz w:val="20"/>
                <w:szCs w:val="22"/>
                <w:lang w:eastAsia="pt-BR"/>
              </w:rPr>
              <w:t>19</w:t>
            </w:r>
            <w:r w:rsidR="00EE061E" w:rsidRPr="00982C8E">
              <w:rPr>
                <w:rFonts w:asciiTheme="minorHAnsi" w:eastAsia="Times New Roman" w:hAnsiTheme="minorHAnsi" w:cstheme="minorHAnsi"/>
                <w:bCs/>
                <w:sz w:val="20"/>
                <w:szCs w:val="22"/>
                <w:lang w:eastAsia="pt-BR"/>
              </w:rPr>
              <w:t>) Ausências (</w:t>
            </w:r>
            <w:r w:rsidR="00982C8E" w:rsidRPr="00982C8E">
              <w:rPr>
                <w:rFonts w:asciiTheme="minorHAnsi" w:eastAsia="Times New Roman" w:hAnsiTheme="minorHAnsi" w:cstheme="minorHAnsi"/>
                <w:bCs/>
                <w:sz w:val="20"/>
                <w:szCs w:val="22"/>
                <w:lang w:eastAsia="pt-BR"/>
              </w:rPr>
              <w:t>03</w:t>
            </w:r>
            <w:r w:rsidR="00EE061E" w:rsidRPr="00982C8E">
              <w:rPr>
                <w:rFonts w:asciiTheme="minorHAnsi" w:eastAsia="Times New Roman" w:hAnsiTheme="minorHAnsi" w:cstheme="minorHAnsi"/>
                <w:bCs/>
                <w:sz w:val="20"/>
                <w:szCs w:val="22"/>
                <w:lang w:eastAsia="pt-BR"/>
              </w:rPr>
              <w:t>)</w:t>
            </w:r>
            <w:r w:rsidR="00904C0A" w:rsidRPr="00982C8E">
              <w:rPr>
                <w:rFonts w:asciiTheme="minorHAnsi" w:eastAsia="Times New Roman" w:hAnsiTheme="minorHAnsi" w:cstheme="minorHAnsi"/>
                <w:bCs/>
                <w:sz w:val="20"/>
                <w:szCs w:val="22"/>
                <w:lang w:eastAsia="pt-BR"/>
              </w:rPr>
              <w:t xml:space="preserve"> </w:t>
            </w:r>
            <w:r w:rsidR="00982C8E" w:rsidRPr="00982C8E">
              <w:rPr>
                <w:rFonts w:asciiTheme="minorHAnsi" w:eastAsia="Times New Roman" w:hAnsiTheme="minorHAnsi" w:cstheme="minorHAnsi"/>
                <w:bCs/>
                <w:sz w:val="20"/>
                <w:szCs w:val="22"/>
                <w:lang w:eastAsia="pt-BR"/>
              </w:rPr>
              <w:t>T</w:t>
            </w:r>
            <w:r w:rsidR="00EE061E" w:rsidRPr="00982C8E">
              <w:rPr>
                <w:rFonts w:asciiTheme="minorHAnsi" w:eastAsia="Times New Roman" w:hAnsiTheme="minorHAnsi" w:cstheme="minorHAnsi"/>
                <w:bCs/>
                <w:sz w:val="20"/>
                <w:szCs w:val="22"/>
                <w:lang w:eastAsia="pt-BR"/>
              </w:rPr>
              <w:t>otal (</w:t>
            </w:r>
            <w:r w:rsidR="0086262D" w:rsidRPr="00982C8E">
              <w:rPr>
                <w:rFonts w:asciiTheme="minorHAnsi" w:eastAsia="Times New Roman" w:hAnsiTheme="minorHAnsi" w:cstheme="minorHAnsi"/>
                <w:bCs/>
                <w:sz w:val="20"/>
                <w:szCs w:val="22"/>
                <w:lang w:eastAsia="pt-BR"/>
              </w:rPr>
              <w:t>22</w:t>
            </w:r>
            <w:r w:rsidR="009116E7" w:rsidRPr="00982C8E">
              <w:rPr>
                <w:rFonts w:asciiTheme="minorHAnsi" w:eastAsia="Times New Roman" w:hAnsiTheme="minorHAnsi" w:cstheme="minorHAnsi"/>
                <w:bCs/>
                <w:sz w:val="20"/>
                <w:szCs w:val="22"/>
                <w:lang w:eastAsia="pt-BR"/>
              </w:rPr>
              <w:t>)</w:t>
            </w:r>
            <w:r w:rsidR="009116E7"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982C8E" w:rsidRDefault="00982C8E" w:rsidP="009F48A5">
      <w:pPr>
        <w:spacing w:after="200" w:line="276" w:lineRule="auto"/>
        <w:jc w:val="center"/>
        <w:rPr>
          <w:rFonts w:asciiTheme="minorHAnsi" w:hAnsiTheme="minorHAnsi" w:cstheme="minorHAnsi"/>
          <w:b/>
          <w:bCs/>
          <w:sz w:val="22"/>
          <w:szCs w:val="22"/>
          <w:lang w:eastAsia="pt-BR"/>
        </w:rPr>
      </w:pPr>
    </w:p>
    <w:p w:rsidR="00982C8E" w:rsidRDefault="00982C8E">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982C8E" w:rsidRPr="00982C8E" w:rsidRDefault="00982C8E" w:rsidP="00982C8E">
      <w:pPr>
        <w:spacing w:after="200" w:line="276" w:lineRule="auto"/>
        <w:jc w:val="center"/>
        <w:rPr>
          <w:rFonts w:asciiTheme="minorHAnsi" w:hAnsiTheme="minorHAnsi" w:cstheme="minorHAnsi"/>
          <w:b/>
          <w:bCs/>
          <w:lang w:eastAsia="pt-BR"/>
        </w:rPr>
      </w:pPr>
    </w:p>
    <w:p w:rsidR="00982C8E" w:rsidRPr="00982C8E" w:rsidRDefault="00982C8E" w:rsidP="00982C8E">
      <w:pPr>
        <w:spacing w:after="200" w:line="276" w:lineRule="auto"/>
        <w:jc w:val="center"/>
        <w:rPr>
          <w:rFonts w:asciiTheme="minorHAnsi" w:hAnsiTheme="minorHAnsi" w:cstheme="minorHAnsi"/>
          <w:b/>
          <w:bCs/>
          <w:lang w:eastAsia="pt-BR"/>
        </w:rPr>
      </w:pPr>
      <w:r w:rsidRPr="00982C8E">
        <w:rPr>
          <w:rFonts w:asciiTheme="minorHAnsi" w:hAnsiTheme="minorHAnsi" w:cstheme="minorHAnsi"/>
          <w:b/>
          <w:bCs/>
          <w:lang w:eastAsia="pt-BR"/>
        </w:rPr>
        <w:t>MELHORAR O LICENCIAMENTO SIM, ACABAR COM ELE NÃO.</w:t>
      </w:r>
    </w:p>
    <w:p w:rsidR="00982C8E" w:rsidRPr="00982C8E" w:rsidRDefault="00982C8E" w:rsidP="00982C8E">
      <w:pPr>
        <w:spacing w:after="200" w:line="276" w:lineRule="auto"/>
        <w:jc w:val="center"/>
        <w:rPr>
          <w:rFonts w:asciiTheme="minorHAnsi" w:hAnsiTheme="minorHAnsi" w:cstheme="minorHAnsi"/>
          <w:b/>
          <w:bCs/>
          <w:lang w:eastAsia="pt-BR"/>
        </w:rPr>
      </w:pPr>
      <w:r w:rsidRPr="00982C8E">
        <w:rPr>
          <w:rFonts w:asciiTheme="minorHAnsi" w:hAnsiTheme="minorHAnsi" w:cstheme="minorHAnsi"/>
          <w:b/>
          <w:bCs/>
          <w:lang w:eastAsia="pt-BR"/>
        </w:rPr>
        <w:t>Manifestação do CAU/RS sobre os processos de licenciamento de projetos e obras e o equívoco do ‘auto licenciamento’ com a exorbitante responsabilização do profissional.</w:t>
      </w:r>
    </w:p>
    <w:p w:rsidR="00982C8E" w:rsidRPr="00982C8E" w:rsidRDefault="00982C8E" w:rsidP="00982C8E">
      <w:pPr>
        <w:spacing w:after="200" w:line="276" w:lineRule="auto"/>
        <w:jc w:val="both"/>
        <w:rPr>
          <w:rFonts w:asciiTheme="minorHAnsi" w:hAnsiTheme="minorHAnsi" w:cstheme="minorHAnsi"/>
          <w:bCs/>
          <w:lang w:eastAsia="pt-BR"/>
        </w:rPr>
      </w:pP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 xml:space="preserve">A sociedade exige a revisão e qualificação dos processos de licenciamento urbanístico e da construção civil nos municípios brasileiros. </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 xml:space="preserve">Sendo essa uma prerrogativa municipal, é explícita a enorme diversidade nos procedimentos, sendo recorrente casos de falta de clareza quanto às regras e ritos; falta de transparência e de controle social; morosidade; e condutas que não condizem com a dinâmica e a realidade contemporânea. </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 xml:space="preserve">Por outro lado, temos observado que uma das soluções que tem prosperado é a simples supressão do processo de licenciamento em muitos municípios ou sua substituição por modalidades de auto licenciamento, que colocam em risco a sociedade e sobrecarregam de responsabilidade os profissionais técnicos. </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Destacamos também que o “poder de polícia” e as ações de regulação e fiscalização são indelegáveis, ou seja, são responsabilidades e deveres do Estado, que não pode repassar estas atividades para particulares.</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Neste sentido, a partir de um debate amplo e transparente, entendemos como urgente e necessária a definição de princípios, padrões e procedimentos mínimos unificados nas escalas nacional e estadual assegurando ao município esta responsabilidade, como prevê a Constituição Federal, mas garantindo segurança e unidade para essa importante atividade pública.</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Defendemos que os processos de licenciamento devem ter regras claras e públicas, facilmente acessíveis e compreensíveis, para que qualquer profissional possa utilizá-las adequadamente, independente do município onde esteja trabalhando.</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Todos os processos de licenciamento devem ser transparentes e acessíveis a todos, e devem contar com controle social.</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Defendemos o uso das tecnologias disponíveis que possam conferir maior celeridade e praticidade aos processos de licenciamento, sem colocar em risco sua qualidade.</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Defendemos que os processos de licenciamentos sejam tratados de acordo com o grau de complexidade e de impacto urbanístico e ambiental dos empreendimentos, definindo processos mais céleres e simplificados para as edificações e atividades de menor impacto.</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lastRenderedPageBreak/>
        <w:t>Defendemos que os processos de licenciamento devem ser orientados objetivamente para a garantia da segurança, da qualidade ambiental, do cumprimento da legislação e da função social da cidade e da propriedade, evitando-se regras ou procedimentos eventualmente exagerados, que possam tornar os processos burocráticos e morosos.</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Defendemos que os problemas no âmbito do licenciamento devem ser enfrentados através da qualificação dos processos de licenciamento, e não através da supressão ou eliminação dos mesmos, ou das modalidades de auto declaração ou auto licenciamento. Pelo contrário, as estruturas públicas de licenciamento e fiscalização devem ser fortalecidas e qualificadas para a correta e ágil realização dos serviços.</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 xml:space="preserve">Defendemos como imprescindível a manutenção da atividade do licenciamento como atribuição do Estado, sem terceirização, privatização, ou modalidades de auto declarações ou auto licenciamento. A cidade é construída diariamente por uma multiplicidade de atores, cada um deles com seus interesses particulares, todos eles legítimos, e muitos deles conflitantes entre si. </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Cabe ao Estado o papel de defender o interesse público e o bem comum, e mediar os conflitos de interesses entre as partes. Esta tarefa não pode ser delegada a uma empresa ou a um profissional que possuem os seus interesses particulares e estão submetidos a outras pressões, sem contar com a isonomia que somente o Estado possui. O licenciamento é uma atividade pública, deve ser oferecida pelo poder público e deve ter o interesse público, de toda a sociedade, como total prioridade;</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Somos contrários à responsabilização exorbitante do Responsável Técnico. Os profissionais devem assumir a responsabilidade técnica sobre todas as suas atividades, mas não lhes cabe assumir a responsabilidade pelo licenciamento, que é atribuição do Estado. Não pode ser aceito que a responsabilidade jurídica decorrente do licenciamento recaia apenas sobre quem emite o Registro de Responsabilidade Técnica (RRT), pois essa prática colocaria em risco o interesse público na medida em que transfere a função imparcial do Estado de zelar pelo interesse público a profissionais que pretendem ter seus interesses ou de seus clientes atendidos.</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Além da inversão apontada, ocorre uma sobrecarga de responsabilidade sobre o profissional, haja vista que os interesses privados muitas vezes se sobrepõem à técnica, por pressões externas alheias à vontade do arquiteto e urbanista. As hipóteses de auto licenciamento têm sido recebidas, muitas vezes, como vantajosas ao tornar mais célere o processo. Porém, nessas situações, os profissionais assumem responsabilidades excessivas que escapam das suas atribuições, podendo trazer inúmeros prejuízos futuros para eles e para os usuários.</w:t>
      </w:r>
    </w:p>
    <w:p w:rsidR="00982C8E" w:rsidRPr="00982C8E" w:rsidRDefault="00982C8E" w:rsidP="00982C8E">
      <w:pPr>
        <w:spacing w:after="200" w:line="276" w:lineRule="auto"/>
        <w:jc w:val="both"/>
        <w:rPr>
          <w:rFonts w:asciiTheme="minorHAnsi" w:hAnsiTheme="minorHAnsi" w:cstheme="minorHAnsi"/>
          <w:bCs/>
          <w:lang w:eastAsia="pt-BR"/>
        </w:rPr>
      </w:pPr>
      <w:r w:rsidRPr="00982C8E">
        <w:rPr>
          <w:rFonts w:asciiTheme="minorHAnsi" w:hAnsiTheme="minorHAnsi" w:cstheme="minorHAnsi"/>
          <w:bCs/>
          <w:lang w:eastAsia="pt-BR"/>
        </w:rPr>
        <w:t xml:space="preserve">Finalmente, o licenciamento deve estar a serviço do planejamento urbano e dos interesses coletivos, e não ser tratado como um entrave para o desenvolvimento econômico. A eficiência do licenciamento não se limita à agilidade dos processos em si, e sim na garantia do respeito às </w:t>
      </w:r>
      <w:r w:rsidRPr="00982C8E">
        <w:rPr>
          <w:rFonts w:asciiTheme="minorHAnsi" w:hAnsiTheme="minorHAnsi" w:cstheme="minorHAnsi"/>
          <w:bCs/>
          <w:lang w:eastAsia="pt-BR"/>
        </w:rPr>
        <w:lastRenderedPageBreak/>
        <w:t xml:space="preserve">diretrizes do planejamento urbano, a observação dos critérios urbanísticos definidos na legislação, e à segurança da sociedade no curto, médio e longo prazo. </w:t>
      </w:r>
    </w:p>
    <w:p w:rsidR="00982C8E" w:rsidRPr="00982C8E" w:rsidRDefault="00982C8E" w:rsidP="00982C8E">
      <w:pPr>
        <w:spacing w:after="200" w:line="276" w:lineRule="auto"/>
        <w:jc w:val="both"/>
        <w:rPr>
          <w:rFonts w:asciiTheme="minorHAnsi" w:hAnsiTheme="minorHAnsi" w:cstheme="minorHAnsi"/>
          <w:b/>
          <w:bCs/>
          <w:lang w:eastAsia="pt-BR"/>
        </w:rPr>
      </w:pPr>
      <w:r w:rsidRPr="00982C8E">
        <w:rPr>
          <w:rFonts w:asciiTheme="minorHAnsi" w:hAnsiTheme="minorHAnsi" w:cstheme="minorHAnsi"/>
          <w:bCs/>
          <w:lang w:eastAsia="pt-BR"/>
        </w:rPr>
        <w:t xml:space="preserve">Com esse manifesto o CAU/RS contribui com o debate público, a fim de apontar rumos para a qualificação dos processos de licenciamento no país, garantindo procedimentos mais céleres e claros nos processos de licenciamentos futuros, mantendo a imparcialidade conferida ao Estado, sem perder o rumo </w:t>
      </w:r>
      <w:r w:rsidRPr="00982C8E">
        <w:rPr>
          <w:rFonts w:asciiTheme="minorHAnsi" w:hAnsiTheme="minorHAnsi" w:cstheme="minorHAnsi"/>
          <w:b/>
          <w:bCs/>
          <w:lang w:eastAsia="pt-BR"/>
        </w:rPr>
        <w:t>traçado pela Constituição Federal e pelo Estatuto das Cidades.</w:t>
      </w:r>
    </w:p>
    <w:sectPr w:rsidR="00982C8E" w:rsidRPr="00982C8E">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B1D6E">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B1D6E">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B1D6E">
          <w:rPr>
            <w:rFonts w:ascii="DaxCondensed" w:hAnsi="DaxCondensed" w:cs="Arial"/>
            <w:noProof/>
            <w:sz w:val="20"/>
            <w:szCs w:val="20"/>
          </w:rPr>
          <w:t>6</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B1D6E"/>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B1D6E">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B1D6E"/>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2058A0"/>
    <w:multiLevelType w:val="hybridMultilevel"/>
    <w:tmpl w:val="9E965F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9"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F564CAF"/>
    <w:multiLevelType w:val="hybridMultilevel"/>
    <w:tmpl w:val="BEA8AA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5"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2"/>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 w:numId="12">
    <w:abstractNumId w:val="3"/>
  </w:num>
  <w:num w:numId="13">
    <w:abstractNumId w:val="13"/>
  </w:num>
  <w:num w:numId="14">
    <w:abstractNumId w:val="17"/>
  </w:num>
  <w:num w:numId="15">
    <w:abstractNumId w:val="9"/>
  </w:num>
  <w:num w:numId="16">
    <w:abstractNumId w:val="0"/>
  </w:num>
  <w:num w:numId="17">
    <w:abstractNumId w:val="19"/>
  </w:num>
  <w:num w:numId="18">
    <w:abstractNumId w:val="14"/>
  </w:num>
  <w:num w:numId="19">
    <w:abstractNumId w:val="1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27DCE"/>
    <w:rsid w:val="0013101F"/>
    <w:rsid w:val="00155C1C"/>
    <w:rsid w:val="00163138"/>
    <w:rsid w:val="00165499"/>
    <w:rsid w:val="001A2002"/>
    <w:rsid w:val="001A324A"/>
    <w:rsid w:val="001E2D03"/>
    <w:rsid w:val="0020210B"/>
    <w:rsid w:val="00225E96"/>
    <w:rsid w:val="002317CB"/>
    <w:rsid w:val="00274BF8"/>
    <w:rsid w:val="00286789"/>
    <w:rsid w:val="00292FD6"/>
    <w:rsid w:val="00305CBC"/>
    <w:rsid w:val="003262D1"/>
    <w:rsid w:val="00332947"/>
    <w:rsid w:val="003347BC"/>
    <w:rsid w:val="003523FC"/>
    <w:rsid w:val="00392B9A"/>
    <w:rsid w:val="00393245"/>
    <w:rsid w:val="003A6EE1"/>
    <w:rsid w:val="003B530C"/>
    <w:rsid w:val="003D3CC3"/>
    <w:rsid w:val="004102BE"/>
    <w:rsid w:val="004129B1"/>
    <w:rsid w:val="004136E1"/>
    <w:rsid w:val="00421D3E"/>
    <w:rsid w:val="004250EB"/>
    <w:rsid w:val="004418A7"/>
    <w:rsid w:val="004921EE"/>
    <w:rsid w:val="004A7853"/>
    <w:rsid w:val="004B0F35"/>
    <w:rsid w:val="004F4077"/>
    <w:rsid w:val="00507DD9"/>
    <w:rsid w:val="005300F1"/>
    <w:rsid w:val="00590282"/>
    <w:rsid w:val="00591B04"/>
    <w:rsid w:val="00594DD0"/>
    <w:rsid w:val="005C18E0"/>
    <w:rsid w:val="005C3926"/>
    <w:rsid w:val="0061151A"/>
    <w:rsid w:val="006264DF"/>
    <w:rsid w:val="00665E9D"/>
    <w:rsid w:val="0066618A"/>
    <w:rsid w:val="00693E01"/>
    <w:rsid w:val="006A6EAA"/>
    <w:rsid w:val="006F5074"/>
    <w:rsid w:val="006F72F5"/>
    <w:rsid w:val="00735525"/>
    <w:rsid w:val="00741A3F"/>
    <w:rsid w:val="0074549A"/>
    <w:rsid w:val="00766FE1"/>
    <w:rsid w:val="00787FB9"/>
    <w:rsid w:val="007A1836"/>
    <w:rsid w:val="007C097E"/>
    <w:rsid w:val="007E5451"/>
    <w:rsid w:val="008037A5"/>
    <w:rsid w:val="00844FAA"/>
    <w:rsid w:val="0086262D"/>
    <w:rsid w:val="00863CC9"/>
    <w:rsid w:val="00867F97"/>
    <w:rsid w:val="00871AD5"/>
    <w:rsid w:val="008B0FC5"/>
    <w:rsid w:val="008D4EAD"/>
    <w:rsid w:val="008D6781"/>
    <w:rsid w:val="00904C0A"/>
    <w:rsid w:val="009116E7"/>
    <w:rsid w:val="00936FB1"/>
    <w:rsid w:val="00982265"/>
    <w:rsid w:val="00982C8E"/>
    <w:rsid w:val="009A084E"/>
    <w:rsid w:val="009F48A5"/>
    <w:rsid w:val="009F7A5C"/>
    <w:rsid w:val="00A25E4E"/>
    <w:rsid w:val="00A5451E"/>
    <w:rsid w:val="00A57067"/>
    <w:rsid w:val="00A71A38"/>
    <w:rsid w:val="00A90A79"/>
    <w:rsid w:val="00AB1E34"/>
    <w:rsid w:val="00AB2898"/>
    <w:rsid w:val="00AB3628"/>
    <w:rsid w:val="00AC106A"/>
    <w:rsid w:val="00B212FF"/>
    <w:rsid w:val="00B80B09"/>
    <w:rsid w:val="00BB1D6E"/>
    <w:rsid w:val="00BC12AE"/>
    <w:rsid w:val="00BD0E8E"/>
    <w:rsid w:val="00C072C7"/>
    <w:rsid w:val="00CC4BED"/>
    <w:rsid w:val="00CD4B3C"/>
    <w:rsid w:val="00CF273B"/>
    <w:rsid w:val="00D66EB1"/>
    <w:rsid w:val="00E5615B"/>
    <w:rsid w:val="00E65E3D"/>
    <w:rsid w:val="00E66813"/>
    <w:rsid w:val="00EB3BDE"/>
    <w:rsid w:val="00EC4204"/>
    <w:rsid w:val="00ED7FDA"/>
    <w:rsid w:val="00EE0389"/>
    <w:rsid w:val="00EE061E"/>
    <w:rsid w:val="00F02455"/>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unhideWhenUsed/>
    <w:rsid w:val="00591B04"/>
    <w:rPr>
      <w:color w:val="0000FF" w:themeColor="hyperlink"/>
      <w:u w:val="single"/>
    </w:rPr>
  </w:style>
  <w:style w:type="character" w:styleId="Refdenotaderodap">
    <w:name w:val="footnote reference"/>
    <w:basedOn w:val="Fontepargpadro"/>
    <w:unhideWhenUsed/>
    <w:rsid w:val="00787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4174-F355-4C63-999E-BD7E7E8C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1616</Words>
  <Characters>8729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13</cp:revision>
  <cp:lastPrinted>2022-08-01T17:27:00Z</cp:lastPrinted>
  <dcterms:created xsi:type="dcterms:W3CDTF">2022-07-28T21:41:00Z</dcterms:created>
  <dcterms:modified xsi:type="dcterms:W3CDTF">2022-08-04T20:50:00Z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