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CC4BED" w:rsidRPr="000245F1" w:rsidRDefault="004102BE" w:rsidP="00787FB9">
            <w:pPr>
              <w:rPr>
                <w:rFonts w:asciiTheme="minorHAnsi" w:hAnsiTheme="minorHAnsi" w:cstheme="minorHAnsi"/>
              </w:rPr>
            </w:pPr>
            <w:r>
              <w:rPr>
                <w:rFonts w:asciiTheme="minorHAnsi" w:hAnsiTheme="minorHAnsi" w:cstheme="minorHAnsi"/>
              </w:rPr>
              <w:t xml:space="preserve">Protocolo SICCAU nº </w:t>
            </w:r>
            <w:r w:rsidR="00787FB9">
              <w:rPr>
                <w:rFonts w:asciiTheme="minorHAnsi" w:hAnsiTheme="minorHAnsi" w:cstheme="minorHAnsi"/>
              </w:rPr>
              <w:t>1553406</w:t>
            </w:r>
            <w:r w:rsidR="001A324A" w:rsidRPr="001A324A">
              <w:rPr>
                <w:rFonts w:asciiTheme="minorHAnsi" w:hAnsiTheme="minorHAnsi" w:cstheme="minorHAnsi"/>
              </w:rPr>
              <w:t>/2022</w:t>
            </w:r>
          </w:p>
        </w:tc>
      </w:tr>
      <w:tr w:rsidR="004102BE"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0245F1" w:rsidRDefault="004102BE" w:rsidP="004102BE">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4102BE" w:rsidRPr="000245F1" w:rsidRDefault="001A324A" w:rsidP="004102BE">
            <w:pPr>
              <w:widowControl w:val="0"/>
              <w:rPr>
                <w:rFonts w:asciiTheme="minorHAnsi" w:hAnsiTheme="minorHAnsi" w:cstheme="minorHAnsi"/>
                <w:bCs/>
                <w:lang w:eastAsia="pt-BR"/>
              </w:rPr>
            </w:pPr>
            <w:r>
              <w:rPr>
                <w:rFonts w:asciiTheme="minorHAnsi" w:hAnsiTheme="minorHAnsi" w:cstheme="minorHAnsi"/>
                <w:bCs/>
                <w:lang w:eastAsia="pt-BR"/>
              </w:rPr>
              <w:t>Gerência Administrativa e Financeira</w:t>
            </w:r>
            <w:r w:rsidR="004102BE">
              <w:rPr>
                <w:rFonts w:asciiTheme="minorHAnsi" w:hAnsiTheme="minorHAnsi" w:cstheme="minorHAnsi"/>
                <w:bCs/>
                <w:lang w:eastAsia="pt-BR"/>
              </w:rPr>
              <w:t xml:space="preserve"> </w:t>
            </w:r>
            <w:r w:rsidR="00591B04">
              <w:rPr>
                <w:rFonts w:asciiTheme="minorHAnsi" w:hAnsiTheme="minorHAnsi" w:cstheme="minorHAnsi"/>
                <w:bCs/>
                <w:lang w:eastAsia="pt-BR"/>
              </w:rPr>
              <w:t xml:space="preserve">do </w:t>
            </w:r>
            <w:r w:rsidR="004102BE" w:rsidRPr="000245F1">
              <w:rPr>
                <w:rFonts w:asciiTheme="minorHAnsi" w:hAnsiTheme="minorHAnsi" w:cstheme="minorHAnsi"/>
                <w:bCs/>
                <w:lang w:eastAsia="pt-BR"/>
              </w:rPr>
              <w:t>CAU/RS</w:t>
            </w:r>
          </w:p>
        </w:tc>
      </w:tr>
      <w:tr w:rsidR="004102BE" w:rsidRPr="000245F1"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4102BE" w:rsidRPr="000245F1" w:rsidRDefault="004102BE" w:rsidP="004102BE">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4102BE" w:rsidRPr="000245F1" w:rsidRDefault="00787FB9" w:rsidP="006E1A87">
            <w:pPr>
              <w:widowControl w:val="0"/>
              <w:jc w:val="both"/>
              <w:rPr>
                <w:rFonts w:asciiTheme="minorHAnsi" w:hAnsiTheme="minorHAnsi" w:cstheme="minorHAnsi"/>
                <w:bCs/>
                <w:lang w:eastAsia="pt-BR"/>
              </w:rPr>
            </w:pPr>
            <w:r w:rsidRPr="00787FB9">
              <w:rPr>
                <w:rFonts w:asciiTheme="minorHAnsi" w:hAnsiTheme="minorHAnsi" w:cstheme="minorHAnsi"/>
                <w:bCs/>
                <w:lang w:eastAsia="pt-BR"/>
              </w:rPr>
              <w:t>Parecer Jurídico da Assessoria Jurídica Externa</w:t>
            </w:r>
            <w:r w:rsidR="006E1A87">
              <w:rPr>
                <w:rFonts w:asciiTheme="minorHAnsi" w:hAnsiTheme="minorHAnsi" w:cstheme="minorHAnsi"/>
                <w:bCs/>
                <w:lang w:eastAsia="pt-BR"/>
              </w:rPr>
              <w:t xml:space="preserve"> sobre a</w:t>
            </w:r>
            <w:r w:rsidR="006E1A87" w:rsidRPr="00787FB9">
              <w:rPr>
                <w:rFonts w:asciiTheme="minorHAnsi" w:hAnsiTheme="minorHAnsi" w:cstheme="minorHAnsi"/>
                <w:bCs/>
                <w:lang w:eastAsia="pt-BR"/>
              </w:rPr>
              <w:t>plicabilidade</w:t>
            </w:r>
            <w:r w:rsidR="006E1A87">
              <w:rPr>
                <w:rFonts w:asciiTheme="minorHAnsi" w:hAnsiTheme="minorHAnsi" w:cstheme="minorHAnsi"/>
                <w:bCs/>
                <w:lang w:eastAsia="pt-BR"/>
              </w:rPr>
              <w:t xml:space="preserve"> do </w:t>
            </w:r>
            <w:r w:rsidR="006E1A87" w:rsidRPr="00787FB9">
              <w:rPr>
                <w:rFonts w:asciiTheme="minorHAnsi" w:hAnsiTheme="minorHAnsi" w:cstheme="minorHAnsi"/>
                <w:bCs/>
                <w:lang w:eastAsia="pt-BR"/>
              </w:rPr>
              <w:t>Plano</w:t>
            </w:r>
            <w:r w:rsidR="006E1A87" w:rsidRPr="00787FB9">
              <w:rPr>
                <w:rFonts w:asciiTheme="minorHAnsi" w:hAnsiTheme="minorHAnsi" w:cstheme="minorHAnsi"/>
                <w:bCs/>
                <w:lang w:eastAsia="pt-BR"/>
              </w:rPr>
              <w:t xml:space="preserve"> de Cargos e </w:t>
            </w:r>
            <w:r w:rsidR="006E1A87" w:rsidRPr="00787FB9">
              <w:rPr>
                <w:rFonts w:asciiTheme="minorHAnsi" w:hAnsiTheme="minorHAnsi" w:cstheme="minorHAnsi"/>
                <w:bCs/>
                <w:lang w:eastAsia="pt-BR"/>
              </w:rPr>
              <w:t>Salários</w:t>
            </w:r>
            <w:r w:rsidR="006E1A87">
              <w:rPr>
                <w:rFonts w:asciiTheme="minorHAnsi" w:hAnsiTheme="minorHAnsi" w:cstheme="minorHAnsi"/>
                <w:bCs/>
                <w:lang w:eastAsia="pt-BR"/>
              </w:rPr>
              <w:t xml:space="preserve">. </w:t>
            </w:r>
          </w:p>
        </w:tc>
      </w:tr>
    </w:tbl>
    <w:p w:rsidR="00CC4BED" w:rsidRPr="000245F1" w:rsidRDefault="00CC4BED" w:rsidP="00C072C7">
      <w:pPr>
        <w:pBdr>
          <w:top w:val="single" w:sz="8" w:space="0"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F70A8E">
        <w:rPr>
          <w:rFonts w:asciiTheme="minorHAnsi" w:hAnsiTheme="minorHAnsi" w:cstheme="minorHAnsi"/>
          <w:lang w:eastAsia="pt-BR"/>
        </w:rPr>
        <w:t>14</w:t>
      </w:r>
      <w:r w:rsidR="001A324A">
        <w:rPr>
          <w:rFonts w:asciiTheme="minorHAnsi" w:hAnsiTheme="minorHAnsi" w:cstheme="minorHAnsi"/>
          <w:lang w:eastAsia="pt-BR"/>
        </w:rPr>
        <w:t>9</w:t>
      </w:r>
      <w:r w:rsidR="00787FB9">
        <w:rPr>
          <w:rFonts w:asciiTheme="minorHAnsi" w:hAnsiTheme="minorHAnsi" w:cstheme="minorHAnsi"/>
          <w:lang w:eastAsia="pt-BR"/>
        </w:rPr>
        <w:t>3</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AB1E34" w:rsidRPr="00AB1E34" w:rsidRDefault="00787FB9" w:rsidP="00AB1E34">
      <w:pPr>
        <w:ind w:left="6237"/>
        <w:jc w:val="both"/>
        <w:rPr>
          <w:rFonts w:asciiTheme="minorHAnsi" w:hAnsiTheme="minorHAnsi" w:cstheme="minorHAnsi"/>
          <w:sz w:val="20"/>
          <w:szCs w:val="22"/>
          <w:lang w:eastAsia="pt-BR"/>
        </w:rPr>
      </w:pPr>
      <w:r>
        <w:rPr>
          <w:rFonts w:asciiTheme="minorHAnsi" w:hAnsiTheme="minorHAnsi" w:cstheme="minorHAnsi"/>
          <w:sz w:val="20"/>
          <w:szCs w:val="22"/>
          <w:lang w:eastAsia="pt-BR"/>
        </w:rPr>
        <w:t xml:space="preserve">Aprova </w:t>
      </w:r>
      <w:r w:rsidRPr="00787FB9">
        <w:rPr>
          <w:rFonts w:asciiTheme="minorHAnsi" w:hAnsiTheme="minorHAnsi" w:cstheme="minorHAnsi"/>
          <w:sz w:val="20"/>
          <w:szCs w:val="22"/>
          <w:lang w:eastAsia="pt-BR"/>
        </w:rPr>
        <w:t xml:space="preserve">e torna vinculante o Parecer Jurídico </w:t>
      </w:r>
      <w:r>
        <w:rPr>
          <w:rFonts w:asciiTheme="minorHAnsi" w:hAnsiTheme="minorHAnsi" w:cstheme="minorHAnsi"/>
          <w:sz w:val="20"/>
          <w:szCs w:val="22"/>
          <w:lang w:eastAsia="pt-BR"/>
        </w:rPr>
        <w:t xml:space="preserve">anexo a esta Deliberação, </w:t>
      </w:r>
      <w:r w:rsidRPr="00787FB9">
        <w:rPr>
          <w:rFonts w:asciiTheme="minorHAnsi" w:hAnsiTheme="minorHAnsi" w:cstheme="minorHAnsi"/>
          <w:sz w:val="20"/>
          <w:szCs w:val="22"/>
          <w:lang w:eastAsia="pt-BR"/>
        </w:rPr>
        <w:t xml:space="preserve">cujo teor trata sobre o Plano de Cargos e Salários do CAU/RS </w:t>
      </w:r>
      <w:r>
        <w:rPr>
          <w:rFonts w:asciiTheme="minorHAnsi" w:hAnsiTheme="minorHAnsi" w:cstheme="minorHAnsi"/>
          <w:sz w:val="20"/>
          <w:szCs w:val="22"/>
          <w:lang w:eastAsia="pt-BR"/>
        </w:rPr>
        <w:t>e dá outras providências.</w:t>
      </w:r>
    </w:p>
    <w:p w:rsidR="00A25E4E" w:rsidRPr="00A25E4E" w:rsidRDefault="00A25E4E" w:rsidP="00A25E4E">
      <w:pPr>
        <w:tabs>
          <w:tab w:val="left" w:pos="1418"/>
        </w:tabs>
        <w:ind w:left="6372"/>
        <w:jc w:val="both"/>
        <w:rPr>
          <w:rFonts w:asciiTheme="minorHAnsi" w:hAnsiTheme="minorHAnsi" w:cstheme="minorHAnsi"/>
          <w:sz w:val="20"/>
          <w:szCs w:val="20"/>
        </w:rPr>
      </w:pPr>
    </w:p>
    <w:p w:rsidR="00ED7FDA" w:rsidRDefault="00ED7FDA" w:rsidP="00A57067">
      <w:pPr>
        <w:tabs>
          <w:tab w:val="left" w:pos="3544"/>
        </w:tabs>
        <w:jc w:val="both"/>
        <w:rPr>
          <w:rFonts w:asciiTheme="minorHAnsi" w:hAnsiTheme="minorHAnsi" w:cstheme="minorHAnsi"/>
          <w:lang w:eastAsia="pt-BR"/>
        </w:rPr>
      </w:pPr>
      <w:r w:rsidRPr="008D6781">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sidR="00274BF8" w:rsidRPr="008D6781">
        <w:rPr>
          <w:rFonts w:asciiTheme="minorHAnsi" w:hAnsiTheme="minorHAnsi" w:cstheme="minorHAnsi"/>
          <w:lang w:eastAsia="pt-BR"/>
        </w:rPr>
        <w:t>29</w:t>
      </w:r>
      <w:r w:rsidR="006F72F5" w:rsidRPr="008D6781">
        <w:rPr>
          <w:rFonts w:asciiTheme="minorHAnsi" w:hAnsiTheme="minorHAnsi" w:cstheme="minorHAnsi"/>
          <w:lang w:eastAsia="pt-BR"/>
        </w:rPr>
        <w:t xml:space="preserve"> de ju</w:t>
      </w:r>
      <w:r w:rsidR="00274BF8" w:rsidRPr="008D6781">
        <w:rPr>
          <w:rFonts w:asciiTheme="minorHAnsi" w:hAnsiTheme="minorHAnsi" w:cstheme="minorHAnsi"/>
          <w:lang w:eastAsia="pt-BR"/>
        </w:rPr>
        <w:t>l</w:t>
      </w:r>
      <w:r w:rsidR="006F72F5" w:rsidRPr="008D6781">
        <w:rPr>
          <w:rFonts w:asciiTheme="minorHAnsi" w:hAnsiTheme="minorHAnsi" w:cstheme="minorHAnsi"/>
          <w:lang w:eastAsia="pt-BR"/>
        </w:rPr>
        <w:t>ho</w:t>
      </w:r>
      <w:r w:rsidR="001A2002" w:rsidRPr="008D6781">
        <w:rPr>
          <w:rFonts w:asciiTheme="minorHAnsi" w:hAnsiTheme="minorHAnsi" w:cstheme="minorHAnsi"/>
          <w:lang w:eastAsia="pt-BR"/>
        </w:rPr>
        <w:t xml:space="preserve"> </w:t>
      </w:r>
      <w:r w:rsidRPr="008D6781">
        <w:rPr>
          <w:rFonts w:asciiTheme="minorHAnsi" w:hAnsiTheme="minorHAnsi" w:cstheme="minorHAnsi"/>
          <w:lang w:eastAsia="pt-BR"/>
        </w:rPr>
        <w:t>de 202</w:t>
      </w:r>
      <w:r w:rsidR="0020210B" w:rsidRPr="008D6781">
        <w:rPr>
          <w:rFonts w:asciiTheme="minorHAnsi" w:hAnsiTheme="minorHAnsi" w:cstheme="minorHAnsi"/>
          <w:lang w:eastAsia="pt-BR"/>
        </w:rPr>
        <w:t>2</w:t>
      </w:r>
      <w:r w:rsidRPr="008D6781">
        <w:rPr>
          <w:rFonts w:asciiTheme="minorHAnsi" w:hAnsiTheme="minorHAnsi" w:cstheme="minorHAnsi"/>
          <w:lang w:eastAsia="pt-BR"/>
        </w:rPr>
        <w:t>, após análise do assunto em epígrafe, e</w:t>
      </w:r>
    </w:p>
    <w:p w:rsidR="00127DCE" w:rsidRDefault="00127DCE" w:rsidP="00A57067">
      <w:pPr>
        <w:tabs>
          <w:tab w:val="left" w:pos="3544"/>
        </w:tabs>
        <w:jc w:val="both"/>
        <w:rPr>
          <w:rFonts w:asciiTheme="minorHAnsi" w:hAnsiTheme="minorHAnsi" w:cstheme="minorHAnsi"/>
          <w:lang w:eastAsia="pt-BR"/>
        </w:rPr>
      </w:pPr>
    </w:p>
    <w:p w:rsidR="00787FB9" w:rsidRPr="00787FB9" w:rsidRDefault="00787FB9" w:rsidP="00787FB9">
      <w:pPr>
        <w:tabs>
          <w:tab w:val="left" w:pos="3544"/>
        </w:tabs>
        <w:jc w:val="both"/>
        <w:rPr>
          <w:rFonts w:asciiTheme="minorHAnsi" w:hAnsiTheme="minorHAnsi" w:cstheme="minorHAnsi"/>
          <w:lang w:eastAsia="pt-BR"/>
        </w:rPr>
      </w:pPr>
      <w:r w:rsidRPr="00787FB9">
        <w:rPr>
          <w:rFonts w:asciiTheme="minorHAnsi" w:hAnsiTheme="minorHAnsi" w:cstheme="minorHAnsi"/>
          <w:lang w:eastAsia="pt-BR"/>
        </w:rPr>
        <w:t xml:space="preserve">Considerando o Parecer Jurídico exarado no dia 11 de julho de 2022 pela Assessoria Jurídica externa, assinado pelo Dr. Carlos Eduardo </w:t>
      </w:r>
      <w:proofErr w:type="spellStart"/>
      <w:r w:rsidRPr="00787FB9">
        <w:rPr>
          <w:rFonts w:asciiTheme="minorHAnsi" w:hAnsiTheme="minorHAnsi" w:cstheme="minorHAnsi"/>
          <w:lang w:eastAsia="pt-BR"/>
        </w:rPr>
        <w:t>Reverbel</w:t>
      </w:r>
      <w:proofErr w:type="spellEnd"/>
      <w:r w:rsidRPr="00787FB9">
        <w:rPr>
          <w:rFonts w:asciiTheme="minorHAnsi" w:hAnsiTheme="minorHAnsi" w:cstheme="minorHAnsi"/>
          <w:vertAlign w:val="superscript"/>
        </w:rPr>
        <w:footnoteReference w:id="1"/>
      </w:r>
      <w:r w:rsidRPr="00787FB9">
        <w:rPr>
          <w:rFonts w:asciiTheme="minorHAnsi" w:hAnsiTheme="minorHAnsi" w:cstheme="minorHAnsi"/>
          <w:lang w:eastAsia="pt-BR"/>
        </w:rPr>
        <w:t xml:space="preserve">, cujo teor trata sobre o Plano de Cargos e Salários do CAU/RS aprovado conforme Deliberação Plenária nº 433/2015 da 11ª Sessão Plenária Extraordinária (em 23/10/2015), conforme </w:t>
      </w:r>
      <w:r>
        <w:rPr>
          <w:rFonts w:asciiTheme="minorHAnsi" w:hAnsiTheme="minorHAnsi" w:cstheme="minorHAnsi"/>
          <w:lang w:eastAsia="pt-BR"/>
        </w:rPr>
        <w:t>ane</w:t>
      </w:r>
      <w:r w:rsidRPr="00787FB9">
        <w:rPr>
          <w:rFonts w:asciiTheme="minorHAnsi" w:hAnsiTheme="minorHAnsi" w:cstheme="minorHAnsi"/>
          <w:lang w:eastAsia="pt-BR"/>
        </w:rPr>
        <w:t>xo desta deliberação;</w:t>
      </w:r>
    </w:p>
    <w:p w:rsidR="00787FB9" w:rsidRPr="00E548D1" w:rsidRDefault="00787FB9" w:rsidP="00787FB9">
      <w:pPr>
        <w:tabs>
          <w:tab w:val="left" w:pos="1418"/>
        </w:tabs>
        <w:jc w:val="both"/>
        <w:rPr>
          <w:rFonts w:ascii="Calibri" w:hAnsi="Calibri" w:cs="Calibri"/>
          <w:sz w:val="20"/>
          <w:szCs w:val="20"/>
          <w:lang w:eastAsia="pt-BR"/>
        </w:rPr>
      </w:pPr>
    </w:p>
    <w:p w:rsidR="00787FB9" w:rsidRPr="00787FB9" w:rsidRDefault="00787FB9" w:rsidP="00787FB9">
      <w:pPr>
        <w:tabs>
          <w:tab w:val="left" w:pos="1418"/>
        </w:tabs>
        <w:jc w:val="both"/>
        <w:rPr>
          <w:rFonts w:ascii="Calibri" w:hAnsi="Calibri" w:cs="Calibri"/>
          <w:i/>
          <w:szCs w:val="20"/>
          <w:lang w:eastAsia="pt-BR"/>
        </w:rPr>
      </w:pPr>
      <w:r w:rsidRPr="00787FB9">
        <w:rPr>
          <w:rFonts w:ascii="Calibri" w:hAnsi="Calibri" w:cs="Calibri"/>
          <w:i/>
          <w:szCs w:val="20"/>
          <w:lang w:eastAsia="pt-BR"/>
        </w:rPr>
        <w:t>Considerando que o parecer jurídico fundamenta que “O gestor deve aplicar a promoção por tempo, a cada 03 anos, por ser automática e objetiva, a qual não pode ser suprimida dos direitos do empregado. A Promoção por merecimento, entretanto, fica parcialmente ineficaz, uma vez que, na atual redação e em respeito ao critério de 03 anos entre uma promoção e outra, a automática prevalece sobre a promoção por merecimento. Na hipótese de algum empregado não conseguir atender aos requisitos da promoção por tempo, este poderá concor</w:t>
      </w:r>
      <w:r>
        <w:rPr>
          <w:rFonts w:ascii="Calibri" w:hAnsi="Calibri" w:cs="Calibri"/>
          <w:i/>
          <w:szCs w:val="20"/>
          <w:lang w:eastAsia="pt-BR"/>
        </w:rPr>
        <w:t>rer a promoção por merecimento”;</w:t>
      </w:r>
    </w:p>
    <w:p w:rsidR="00787FB9" w:rsidRPr="00787FB9" w:rsidRDefault="00787FB9" w:rsidP="00787FB9">
      <w:pPr>
        <w:tabs>
          <w:tab w:val="left" w:pos="1418"/>
        </w:tabs>
        <w:jc w:val="both"/>
        <w:rPr>
          <w:rFonts w:ascii="Calibri" w:hAnsi="Calibri" w:cs="Calibri"/>
          <w:i/>
          <w:szCs w:val="20"/>
          <w:lang w:eastAsia="pt-BR"/>
        </w:rPr>
      </w:pPr>
    </w:p>
    <w:p w:rsidR="00787FB9" w:rsidRPr="00E548D1" w:rsidRDefault="00787FB9" w:rsidP="00787FB9">
      <w:pPr>
        <w:tabs>
          <w:tab w:val="left" w:pos="1418"/>
        </w:tabs>
        <w:jc w:val="both"/>
        <w:rPr>
          <w:rFonts w:ascii="Calibri" w:hAnsi="Calibri" w:cs="Calibri"/>
          <w:sz w:val="20"/>
          <w:szCs w:val="20"/>
          <w:lang w:eastAsia="pt-BR"/>
        </w:rPr>
      </w:pPr>
      <w:r w:rsidRPr="00787FB9">
        <w:rPr>
          <w:rFonts w:ascii="Calibri" w:hAnsi="Calibri" w:cs="Calibri"/>
          <w:szCs w:val="20"/>
          <w:lang w:eastAsia="pt-BR"/>
        </w:rPr>
        <w:t xml:space="preserve">Considerando que o parecer jurídico conclui que </w:t>
      </w:r>
      <w:r w:rsidRPr="00787FB9">
        <w:rPr>
          <w:rFonts w:ascii="Calibri" w:hAnsi="Calibri" w:cs="Calibri"/>
          <w:i/>
          <w:szCs w:val="20"/>
          <w:lang w:eastAsia="pt-BR"/>
        </w:rPr>
        <w:t xml:space="preserve">“O CAU/RS não deve dar promoções em intervalo inferior a 03 anos, a fim de que seja respeitado o critério objetivo e temporal da Norma. Em relação a promoção por tempo de serviço, por se tratar de critério objetivo de concessão, opinamos pela concessão automática, quando preenchidos os 03 anos de efetivo exercício do empregado, observados os requisitos do item 7.1 do PCS ainda vigente. A promoção por </w:t>
      </w:r>
      <w:r w:rsidRPr="00787FB9">
        <w:rPr>
          <w:rFonts w:ascii="Calibri" w:hAnsi="Calibri" w:cs="Calibri"/>
          <w:i/>
          <w:lang w:eastAsia="pt-BR"/>
        </w:rPr>
        <w:lastRenderedPageBreak/>
        <w:t>merecimento só será aplicada na hipótese de não ser concedida a promoção por tempo de serviço. Tendo em vista a consulta e objetivando resguardar o Gestor, sugere-se a aplicação imediata deste entendimento a part</w:t>
      </w:r>
      <w:r>
        <w:rPr>
          <w:rFonts w:ascii="Calibri" w:hAnsi="Calibri" w:cs="Calibri"/>
          <w:i/>
          <w:lang w:eastAsia="pt-BR"/>
        </w:rPr>
        <w:t>ir da data do presente parecer”;</w:t>
      </w:r>
    </w:p>
    <w:p w:rsidR="00787FB9" w:rsidRPr="00E548D1" w:rsidRDefault="00787FB9" w:rsidP="00787FB9">
      <w:pPr>
        <w:tabs>
          <w:tab w:val="left" w:pos="1418"/>
        </w:tabs>
        <w:jc w:val="both"/>
        <w:rPr>
          <w:rFonts w:ascii="Calibri" w:hAnsi="Calibri" w:cs="Calibri"/>
          <w:sz w:val="20"/>
          <w:szCs w:val="20"/>
          <w:lang w:eastAsia="pt-BR"/>
        </w:rPr>
      </w:pPr>
    </w:p>
    <w:p w:rsidR="00787FB9" w:rsidRPr="00787FB9" w:rsidRDefault="00787FB9" w:rsidP="00787FB9">
      <w:pPr>
        <w:jc w:val="both"/>
        <w:rPr>
          <w:rFonts w:ascii="Calibri" w:hAnsi="Calibri" w:cs="Calibri"/>
          <w:szCs w:val="20"/>
        </w:rPr>
      </w:pPr>
      <w:r w:rsidRPr="00787FB9">
        <w:rPr>
          <w:rFonts w:ascii="Calibri" w:hAnsi="Calibri" w:cs="Calibri"/>
          <w:szCs w:val="20"/>
        </w:rPr>
        <w:t xml:space="preserve">Considerando que o inciso XV do art. 37 da Constituição Federal estabelece a regra de irredutibilidade dos vencimentos, nos seguintes termos: “XV - o subsídio e os vencimentos dos ocupantes de cargos e empregos públicos são irredutíveis, ressalvado o disposto nos incisos XI e XIV deste artigo e nos </w:t>
      </w:r>
      <w:proofErr w:type="spellStart"/>
      <w:r w:rsidRPr="00787FB9">
        <w:rPr>
          <w:rFonts w:ascii="Calibri" w:hAnsi="Calibri" w:cs="Calibri"/>
          <w:szCs w:val="20"/>
        </w:rPr>
        <w:t>arts</w:t>
      </w:r>
      <w:proofErr w:type="spellEnd"/>
      <w:r w:rsidRPr="00787FB9">
        <w:rPr>
          <w:rFonts w:ascii="Calibri" w:hAnsi="Calibri" w:cs="Calibri"/>
          <w:szCs w:val="20"/>
        </w:rPr>
        <w:t>. 39, § 4º, 150, II, 153, III, e 153, §</w:t>
      </w:r>
      <w:r>
        <w:rPr>
          <w:rFonts w:ascii="Calibri" w:hAnsi="Calibri" w:cs="Calibri"/>
          <w:szCs w:val="20"/>
        </w:rPr>
        <w:t xml:space="preserve"> 2º, I”;</w:t>
      </w:r>
    </w:p>
    <w:p w:rsidR="00787FB9" w:rsidRPr="00E548D1" w:rsidRDefault="00787FB9" w:rsidP="00787FB9">
      <w:pPr>
        <w:jc w:val="both"/>
        <w:rPr>
          <w:rFonts w:ascii="Calibri" w:hAnsi="Calibri" w:cs="Calibri"/>
          <w:sz w:val="20"/>
          <w:szCs w:val="20"/>
        </w:rPr>
      </w:pPr>
    </w:p>
    <w:p w:rsidR="00787FB9" w:rsidRPr="00787FB9" w:rsidRDefault="00787FB9" w:rsidP="00787FB9">
      <w:pPr>
        <w:jc w:val="both"/>
        <w:rPr>
          <w:rFonts w:ascii="Calibri" w:hAnsi="Calibri" w:cs="Calibri"/>
          <w:szCs w:val="20"/>
        </w:rPr>
      </w:pPr>
      <w:r w:rsidRPr="00787FB9">
        <w:rPr>
          <w:rFonts w:ascii="Calibri" w:hAnsi="Calibri" w:cs="Calibri"/>
          <w:szCs w:val="20"/>
        </w:rPr>
        <w:t>Considerando que o princípio da irredutibilidade salarial impede que o CAU/RS altere o que já está consolidado como salário básico do empregado público.</w:t>
      </w:r>
    </w:p>
    <w:p w:rsidR="00787FB9" w:rsidRPr="00E548D1" w:rsidRDefault="00787FB9" w:rsidP="00787FB9">
      <w:pPr>
        <w:tabs>
          <w:tab w:val="left" w:pos="1418"/>
        </w:tabs>
        <w:jc w:val="both"/>
        <w:rPr>
          <w:rFonts w:ascii="Calibri" w:hAnsi="Calibri" w:cs="Calibri"/>
          <w:sz w:val="20"/>
          <w:szCs w:val="20"/>
          <w:lang w:eastAsia="pt-BR"/>
        </w:rPr>
      </w:pPr>
    </w:p>
    <w:p w:rsidR="001A324A" w:rsidRPr="009C7F1C" w:rsidRDefault="00787FB9" w:rsidP="00FF54B9">
      <w:pPr>
        <w:jc w:val="both"/>
        <w:rPr>
          <w:rFonts w:asciiTheme="minorHAnsi" w:hAnsiTheme="minorHAnsi" w:cstheme="minorHAnsi"/>
        </w:rPr>
      </w:pPr>
      <w:r w:rsidRPr="00787FB9">
        <w:rPr>
          <w:rFonts w:ascii="Calibri" w:hAnsi="Calibri" w:cs="Calibri"/>
          <w:szCs w:val="20"/>
          <w:lang w:eastAsia="pt-BR"/>
        </w:rPr>
        <w:t xml:space="preserve">Considerando que a jurisprudência do Supremo Tribunal Federal </w:t>
      </w:r>
      <w:proofErr w:type="gramStart"/>
      <w:r w:rsidRPr="00787FB9">
        <w:rPr>
          <w:rFonts w:ascii="Calibri" w:hAnsi="Calibri" w:cs="Calibri"/>
          <w:szCs w:val="20"/>
          <w:lang w:eastAsia="pt-BR"/>
        </w:rPr>
        <w:t>firmou-se</w:t>
      </w:r>
      <w:proofErr w:type="gramEnd"/>
      <w:r w:rsidRPr="00787FB9">
        <w:rPr>
          <w:rFonts w:ascii="Calibri" w:hAnsi="Calibri" w:cs="Calibri"/>
          <w:szCs w:val="20"/>
          <w:lang w:eastAsia="pt-BR"/>
        </w:rPr>
        <w:t xml:space="preserve"> no sentido de que não há direito adquirido a regime jurídico e à fórmula de composição da remuneração dos servidores públicos, sendo, portanto, possível a alteração na forma de cálcu</w:t>
      </w:r>
      <w:r>
        <w:rPr>
          <w:rFonts w:ascii="Calibri" w:hAnsi="Calibri" w:cs="Calibri"/>
          <w:szCs w:val="20"/>
          <w:lang w:eastAsia="pt-BR"/>
        </w:rPr>
        <w:t xml:space="preserve">lo de remuneração sem que isso </w:t>
      </w:r>
      <w:r w:rsidRPr="00787FB9">
        <w:rPr>
          <w:rFonts w:ascii="Calibri" w:hAnsi="Calibri" w:cs="Calibri"/>
          <w:szCs w:val="20"/>
          <w:lang w:eastAsia="pt-BR"/>
        </w:rPr>
        <w:t xml:space="preserve">afronte a Constituição da República, desde que ela não importe em diminuição da remuneração recebida pelo servidor (RE 599.411-AgR, de minha relatoria, Primeira Turma, DJe 20.11.2009). </w:t>
      </w:r>
      <w:r w:rsidRPr="00787FB9">
        <w:rPr>
          <w:rFonts w:ascii="Calibri" w:hAnsi="Calibri" w:cs="Calibri"/>
          <w:szCs w:val="20"/>
          <w:lang w:eastAsia="pt-BR"/>
        </w:rPr>
        <w:cr/>
      </w:r>
    </w:p>
    <w:p w:rsidR="00AC106A" w:rsidRDefault="004F4077" w:rsidP="00591B04">
      <w:pPr>
        <w:suppressAutoHyphens/>
        <w:autoSpaceDN w:val="0"/>
        <w:ind w:right="-285"/>
        <w:jc w:val="both"/>
        <w:textAlignment w:val="baseline"/>
        <w:rPr>
          <w:rFonts w:asciiTheme="minorHAnsi" w:hAnsiTheme="minorHAnsi" w:cstheme="minorHAnsi"/>
          <w:b/>
          <w:lang w:eastAsia="pt-BR"/>
        </w:rPr>
      </w:pPr>
      <w:r w:rsidRPr="008D6781">
        <w:rPr>
          <w:rFonts w:asciiTheme="minorHAnsi" w:hAnsiTheme="minorHAnsi" w:cstheme="minorHAnsi"/>
          <w:b/>
          <w:lang w:eastAsia="pt-BR"/>
        </w:rPr>
        <w:t>DELIBEROU</w:t>
      </w:r>
      <w:r w:rsidR="00766FE1" w:rsidRPr="008D6781">
        <w:rPr>
          <w:rFonts w:asciiTheme="minorHAnsi" w:hAnsiTheme="minorHAnsi" w:cstheme="minorHAnsi"/>
          <w:b/>
          <w:lang w:eastAsia="pt-BR"/>
        </w:rPr>
        <w:t xml:space="preserve"> por</w:t>
      </w:r>
      <w:r w:rsidRPr="008D6781">
        <w:rPr>
          <w:rFonts w:asciiTheme="minorHAnsi" w:hAnsiTheme="minorHAnsi" w:cstheme="minorHAnsi"/>
          <w:b/>
          <w:lang w:eastAsia="pt-BR"/>
        </w:rPr>
        <w:t>:</w:t>
      </w:r>
    </w:p>
    <w:p w:rsidR="00155C1C" w:rsidRPr="008D6781" w:rsidRDefault="00155C1C">
      <w:pPr>
        <w:jc w:val="both"/>
        <w:rPr>
          <w:rFonts w:asciiTheme="minorHAnsi" w:hAnsiTheme="minorHAnsi" w:cstheme="minorHAnsi"/>
          <w:b/>
          <w:lang w:eastAsia="pt-BR"/>
        </w:rPr>
      </w:pPr>
    </w:p>
    <w:p w:rsidR="00165499" w:rsidRDefault="00165499" w:rsidP="00165499">
      <w:pPr>
        <w:pStyle w:val="PargrafodaLista"/>
        <w:numPr>
          <w:ilvl w:val="0"/>
          <w:numId w:val="4"/>
        </w:numPr>
        <w:contextualSpacing w:val="0"/>
        <w:jc w:val="both"/>
        <w:rPr>
          <w:rFonts w:ascii="Calibri" w:hAnsi="Calibri" w:cs="Calibri"/>
          <w:szCs w:val="20"/>
          <w:lang w:eastAsia="pt-BR"/>
        </w:rPr>
      </w:pPr>
      <w:r w:rsidRPr="00165499">
        <w:rPr>
          <w:rFonts w:ascii="Calibri" w:hAnsi="Calibri" w:cs="Calibri"/>
          <w:szCs w:val="20"/>
          <w:lang w:eastAsia="pt-BR"/>
        </w:rPr>
        <w:t xml:space="preserve">Aprovar e tornar vinculante o Parecer Jurídico exarado no dia 11 de julho de 2022 pela Assessoria Jurídica externa, assinado pelo Dr. Carlos Eduardo </w:t>
      </w:r>
      <w:proofErr w:type="spellStart"/>
      <w:r w:rsidRPr="00165499">
        <w:rPr>
          <w:rFonts w:ascii="Calibri" w:hAnsi="Calibri" w:cs="Calibri"/>
          <w:szCs w:val="20"/>
          <w:lang w:eastAsia="pt-BR"/>
        </w:rPr>
        <w:t>Reverbel</w:t>
      </w:r>
      <w:proofErr w:type="spellEnd"/>
      <w:r w:rsidRPr="00165499">
        <w:rPr>
          <w:rFonts w:ascii="Calibri" w:hAnsi="Calibri" w:cs="Calibri"/>
          <w:szCs w:val="20"/>
          <w:lang w:eastAsia="pt-BR"/>
        </w:rPr>
        <w:t>, cujo teor trata sobre o Plano de Cargos e Salários do CAU/RS aprovado conforme Deliberação Plenária nº 433/2015 da 11ª Sessão Plenária</w:t>
      </w:r>
      <w:r>
        <w:rPr>
          <w:rFonts w:ascii="Calibri" w:hAnsi="Calibri" w:cs="Calibri"/>
          <w:szCs w:val="20"/>
          <w:lang w:eastAsia="pt-BR"/>
        </w:rPr>
        <w:t xml:space="preserve"> Extraordinária (em 23/10/2015), conforme anexo desta deliberação;</w:t>
      </w:r>
    </w:p>
    <w:p w:rsidR="00165499" w:rsidRDefault="00165499" w:rsidP="00165499">
      <w:pPr>
        <w:pStyle w:val="PargrafodaLista"/>
        <w:contextualSpacing w:val="0"/>
        <w:jc w:val="both"/>
        <w:rPr>
          <w:rFonts w:ascii="Calibri" w:hAnsi="Calibri" w:cs="Calibri"/>
          <w:szCs w:val="20"/>
          <w:lang w:eastAsia="pt-BR"/>
        </w:rPr>
      </w:pPr>
    </w:p>
    <w:p w:rsidR="00165499" w:rsidRPr="00165499" w:rsidRDefault="00165499" w:rsidP="00165499">
      <w:pPr>
        <w:pStyle w:val="PargrafodaLista"/>
        <w:numPr>
          <w:ilvl w:val="0"/>
          <w:numId w:val="4"/>
        </w:numPr>
        <w:contextualSpacing w:val="0"/>
        <w:jc w:val="both"/>
        <w:rPr>
          <w:rFonts w:ascii="Calibri" w:hAnsi="Calibri" w:cs="Calibri"/>
          <w:lang w:eastAsia="pt-BR"/>
        </w:rPr>
      </w:pPr>
      <w:r w:rsidRPr="00165499">
        <w:rPr>
          <w:rFonts w:ascii="Calibri" w:hAnsi="Calibri" w:cs="Calibri"/>
          <w:lang w:eastAsia="pt-BR"/>
        </w:rPr>
        <w:t>Estabelecer que sejam concedidas promoções</w:t>
      </w:r>
      <w:r w:rsidR="00FF54B9">
        <w:rPr>
          <w:rFonts w:ascii="Calibri" w:hAnsi="Calibri" w:cs="Calibri"/>
          <w:lang w:eastAsia="pt-BR"/>
        </w:rPr>
        <w:t>, a partir de 1º de agosto de 2022,</w:t>
      </w:r>
      <w:r w:rsidRPr="00165499">
        <w:rPr>
          <w:rFonts w:ascii="Calibri" w:hAnsi="Calibri" w:cs="Calibri"/>
          <w:lang w:eastAsia="pt-BR"/>
        </w:rPr>
        <w:t xml:space="preserve"> conforme detalhamento a seguir:</w:t>
      </w:r>
    </w:p>
    <w:p w:rsidR="00165499" w:rsidRPr="00165499" w:rsidRDefault="00165499" w:rsidP="00165499">
      <w:pPr>
        <w:pStyle w:val="PargrafodaLista"/>
        <w:numPr>
          <w:ilvl w:val="1"/>
          <w:numId w:val="4"/>
        </w:numPr>
        <w:contextualSpacing w:val="0"/>
        <w:jc w:val="both"/>
        <w:rPr>
          <w:rFonts w:ascii="Calibri" w:hAnsi="Calibri" w:cs="Calibri"/>
          <w:lang w:eastAsia="pt-BR"/>
        </w:rPr>
      </w:pPr>
      <w:r w:rsidRPr="00165499">
        <w:rPr>
          <w:rFonts w:ascii="Calibri" w:hAnsi="Calibri" w:cs="Calibri"/>
          <w:lang w:eastAsia="pt-BR"/>
        </w:rPr>
        <w:t>A promoção horizontal por tempo de serviço seja concedida a cada 03 anos, de forma ininterrupta, uma vez atendidos aos requisitos do item 7.1 do Plano de Cargos e Salários</w:t>
      </w:r>
    </w:p>
    <w:p w:rsidR="00165499" w:rsidRPr="00165499" w:rsidRDefault="00165499" w:rsidP="00165499">
      <w:pPr>
        <w:pStyle w:val="PargrafodaLista"/>
        <w:numPr>
          <w:ilvl w:val="1"/>
          <w:numId w:val="4"/>
        </w:numPr>
        <w:contextualSpacing w:val="0"/>
        <w:jc w:val="both"/>
        <w:rPr>
          <w:rFonts w:ascii="Calibri" w:hAnsi="Calibri" w:cs="Calibri"/>
          <w:lang w:eastAsia="pt-BR"/>
        </w:rPr>
      </w:pPr>
      <w:r w:rsidRPr="00165499">
        <w:rPr>
          <w:rFonts w:ascii="Calibri" w:hAnsi="Calibri" w:cs="Calibri"/>
          <w:lang w:eastAsia="pt-BR"/>
        </w:rPr>
        <w:t xml:space="preserve">A promoção horizontal por merecimento seja concedida somente se o empregado não atender aos requisitos para a promoção horizontal por tempo de serviço; </w:t>
      </w:r>
    </w:p>
    <w:p w:rsidR="00165499" w:rsidRPr="00165499" w:rsidRDefault="00165499" w:rsidP="00165499">
      <w:pPr>
        <w:pStyle w:val="PargrafodaLista"/>
        <w:numPr>
          <w:ilvl w:val="1"/>
          <w:numId w:val="4"/>
        </w:numPr>
        <w:contextualSpacing w:val="0"/>
        <w:jc w:val="both"/>
        <w:rPr>
          <w:rFonts w:ascii="Calibri" w:hAnsi="Calibri" w:cs="Calibri"/>
          <w:lang w:eastAsia="pt-BR"/>
        </w:rPr>
      </w:pPr>
      <w:r w:rsidRPr="00165499">
        <w:rPr>
          <w:rFonts w:ascii="Calibri" w:hAnsi="Calibri" w:cs="Calibri"/>
          <w:lang w:eastAsia="pt-BR"/>
        </w:rPr>
        <w:t>O CAU/RS não deve dar promoções em intervalo inferior a 03 anos, a fim de que seja respeitado o critério objetivo e temporal da norma.</w:t>
      </w:r>
    </w:p>
    <w:p w:rsidR="00165499" w:rsidRDefault="00165499" w:rsidP="00165499">
      <w:pPr>
        <w:pStyle w:val="PargrafodaLista"/>
        <w:rPr>
          <w:rFonts w:asciiTheme="minorHAnsi" w:hAnsiTheme="minorHAnsi" w:cstheme="minorHAnsi"/>
        </w:rPr>
      </w:pPr>
    </w:p>
    <w:p w:rsidR="00FF54B9" w:rsidRPr="00FF54B9" w:rsidRDefault="00FF54B9" w:rsidP="00FF54B9">
      <w:pPr>
        <w:pStyle w:val="PargrafodaLista"/>
        <w:numPr>
          <w:ilvl w:val="0"/>
          <w:numId w:val="4"/>
        </w:numPr>
        <w:contextualSpacing w:val="0"/>
        <w:jc w:val="both"/>
        <w:rPr>
          <w:rFonts w:asciiTheme="minorHAnsi" w:hAnsiTheme="minorHAnsi" w:cstheme="minorHAnsi"/>
        </w:rPr>
      </w:pPr>
      <w:r w:rsidRPr="00165499">
        <w:rPr>
          <w:rFonts w:asciiTheme="minorHAnsi" w:hAnsiTheme="minorHAnsi" w:cstheme="minorHAnsi"/>
        </w:rPr>
        <w:t>Determinar a</w:t>
      </w:r>
      <w:r>
        <w:rPr>
          <w:rFonts w:asciiTheme="minorHAnsi" w:hAnsiTheme="minorHAnsi" w:cstheme="minorHAnsi"/>
        </w:rPr>
        <w:t>o setor responsável, a</w:t>
      </w:r>
      <w:r w:rsidRPr="00165499">
        <w:rPr>
          <w:rFonts w:asciiTheme="minorHAnsi" w:hAnsiTheme="minorHAnsi" w:cstheme="minorHAnsi"/>
        </w:rPr>
        <w:t xml:space="preserve"> </w:t>
      </w:r>
      <w:r w:rsidR="00F5106F">
        <w:rPr>
          <w:rFonts w:asciiTheme="minorHAnsi" w:hAnsiTheme="minorHAnsi" w:cstheme="minorHAnsi"/>
        </w:rPr>
        <w:t xml:space="preserve">adoção de procedimentos relativos à concessão de promoções, conforme </w:t>
      </w:r>
      <w:r w:rsidRPr="00165499">
        <w:rPr>
          <w:rFonts w:asciiTheme="minorHAnsi" w:hAnsiTheme="minorHAnsi" w:cstheme="minorHAnsi"/>
        </w:rPr>
        <w:t xml:space="preserve">interpretação do </w:t>
      </w:r>
      <w:r w:rsidRPr="00165499">
        <w:rPr>
          <w:rFonts w:ascii="Calibri" w:hAnsi="Calibri" w:cs="Calibri"/>
          <w:lang w:eastAsia="pt-BR"/>
        </w:rPr>
        <w:t xml:space="preserve">citado Parecer Jurídico, a </w:t>
      </w:r>
      <w:r>
        <w:rPr>
          <w:rFonts w:ascii="Calibri" w:hAnsi="Calibri" w:cs="Calibri"/>
          <w:lang w:eastAsia="pt-BR"/>
        </w:rPr>
        <w:t>partir de 1º de agosto de 2022</w:t>
      </w:r>
      <w:r w:rsidR="00F5106F">
        <w:rPr>
          <w:rFonts w:ascii="Calibri" w:hAnsi="Calibri" w:cs="Calibri"/>
          <w:lang w:eastAsia="pt-BR"/>
        </w:rPr>
        <w:t>;</w:t>
      </w:r>
    </w:p>
    <w:p w:rsidR="00FF54B9" w:rsidRPr="00FF54B9" w:rsidRDefault="00FF54B9" w:rsidP="00FF54B9">
      <w:pPr>
        <w:pStyle w:val="PargrafodaLista"/>
        <w:contextualSpacing w:val="0"/>
        <w:jc w:val="both"/>
        <w:rPr>
          <w:rFonts w:asciiTheme="minorHAnsi" w:hAnsiTheme="minorHAnsi" w:cstheme="minorHAnsi"/>
        </w:rPr>
      </w:pPr>
    </w:p>
    <w:p w:rsidR="00FF54B9" w:rsidRPr="00FF54B9" w:rsidRDefault="00FF54B9" w:rsidP="00FF54B9">
      <w:pPr>
        <w:pStyle w:val="PargrafodaLista"/>
        <w:numPr>
          <w:ilvl w:val="0"/>
          <w:numId w:val="4"/>
        </w:numPr>
        <w:contextualSpacing w:val="0"/>
        <w:jc w:val="both"/>
        <w:rPr>
          <w:rFonts w:asciiTheme="minorHAnsi" w:hAnsiTheme="minorHAnsi" w:cstheme="minorHAnsi"/>
        </w:rPr>
      </w:pPr>
      <w:r>
        <w:rPr>
          <w:rFonts w:asciiTheme="minorHAnsi" w:hAnsiTheme="minorHAnsi" w:cstheme="minorHAnsi"/>
        </w:rPr>
        <w:t xml:space="preserve">Estabelecer que </w:t>
      </w:r>
      <w:r w:rsidR="00F5106F">
        <w:rPr>
          <w:rFonts w:asciiTheme="minorHAnsi" w:hAnsiTheme="minorHAnsi" w:cstheme="minorHAnsi"/>
        </w:rPr>
        <w:t xml:space="preserve">as promoções com vencimento </w:t>
      </w:r>
      <w:r w:rsidR="00F5106F" w:rsidRPr="00FF54B9">
        <w:rPr>
          <w:rFonts w:asciiTheme="minorHAnsi" w:hAnsiTheme="minorHAnsi" w:cstheme="minorHAnsi"/>
        </w:rPr>
        <w:t>até 31 de julho de 2022</w:t>
      </w:r>
      <w:r w:rsidR="00F5106F">
        <w:rPr>
          <w:rFonts w:asciiTheme="minorHAnsi" w:hAnsiTheme="minorHAnsi" w:cstheme="minorHAnsi"/>
        </w:rPr>
        <w:t xml:space="preserve">, </w:t>
      </w:r>
      <w:r>
        <w:rPr>
          <w:rFonts w:asciiTheme="minorHAnsi" w:hAnsiTheme="minorHAnsi" w:cstheme="minorHAnsi"/>
        </w:rPr>
        <w:t xml:space="preserve">sejam concedidas </w:t>
      </w:r>
      <w:r w:rsidR="00F5106F">
        <w:rPr>
          <w:rFonts w:asciiTheme="minorHAnsi" w:hAnsiTheme="minorHAnsi" w:cstheme="minorHAnsi"/>
        </w:rPr>
        <w:t>às empregadas e aos empregados com direito adquirido</w:t>
      </w:r>
      <w:r w:rsidRPr="00FF54B9">
        <w:rPr>
          <w:rFonts w:asciiTheme="minorHAnsi" w:hAnsiTheme="minorHAnsi" w:cstheme="minorHAnsi"/>
        </w:rPr>
        <w:t xml:space="preserve">, </w:t>
      </w:r>
      <w:r w:rsidR="00F5106F">
        <w:rPr>
          <w:rFonts w:asciiTheme="minorHAnsi" w:hAnsiTheme="minorHAnsi" w:cstheme="minorHAnsi"/>
        </w:rPr>
        <w:t xml:space="preserve">na forma </w:t>
      </w:r>
      <w:r w:rsidRPr="00FF54B9">
        <w:rPr>
          <w:rFonts w:asciiTheme="minorHAnsi" w:hAnsiTheme="minorHAnsi" w:cstheme="minorHAnsi"/>
        </w:rPr>
        <w:t xml:space="preserve">adotada até </w:t>
      </w:r>
      <w:r w:rsidR="00F5106F">
        <w:rPr>
          <w:rFonts w:asciiTheme="minorHAnsi" w:hAnsiTheme="minorHAnsi" w:cstheme="minorHAnsi"/>
        </w:rPr>
        <w:t>àquela data</w:t>
      </w:r>
      <w:r w:rsidRPr="00FF54B9">
        <w:rPr>
          <w:rFonts w:asciiTheme="minorHAnsi" w:hAnsiTheme="minorHAnsi" w:cstheme="minorHAnsi"/>
        </w:rPr>
        <w:t xml:space="preserve">, </w:t>
      </w:r>
      <w:r w:rsidR="00F5106F">
        <w:rPr>
          <w:rFonts w:asciiTheme="minorHAnsi" w:hAnsiTheme="minorHAnsi" w:cstheme="minorHAnsi"/>
        </w:rPr>
        <w:t>pelo CAU/RS</w:t>
      </w:r>
      <w:r w:rsidRPr="00FF54B9">
        <w:rPr>
          <w:rFonts w:asciiTheme="minorHAnsi" w:hAnsiTheme="minorHAnsi" w:cstheme="minorHAnsi"/>
        </w:rPr>
        <w:t>;</w:t>
      </w:r>
    </w:p>
    <w:p w:rsidR="00FF54B9" w:rsidRPr="00FF54B9" w:rsidRDefault="00FF54B9" w:rsidP="00FF54B9">
      <w:pPr>
        <w:jc w:val="both"/>
        <w:rPr>
          <w:rFonts w:asciiTheme="minorHAnsi" w:hAnsiTheme="minorHAnsi" w:cstheme="minorHAnsi"/>
        </w:rPr>
      </w:pPr>
    </w:p>
    <w:p w:rsidR="00165499" w:rsidRDefault="00AB1E34" w:rsidP="00165499">
      <w:pPr>
        <w:pStyle w:val="PargrafodaLista"/>
        <w:numPr>
          <w:ilvl w:val="0"/>
          <w:numId w:val="4"/>
        </w:numPr>
        <w:contextualSpacing w:val="0"/>
        <w:jc w:val="both"/>
        <w:rPr>
          <w:rFonts w:asciiTheme="minorHAnsi" w:hAnsiTheme="minorHAnsi" w:cstheme="minorHAnsi"/>
        </w:rPr>
      </w:pPr>
      <w:r w:rsidRPr="00165499">
        <w:rPr>
          <w:rFonts w:asciiTheme="minorHAnsi" w:hAnsiTheme="minorHAnsi" w:cstheme="minorHAnsi"/>
        </w:rPr>
        <w:t xml:space="preserve">Encaminhar a presente </w:t>
      </w:r>
      <w:r w:rsidR="007E5451" w:rsidRPr="00165499">
        <w:rPr>
          <w:rFonts w:asciiTheme="minorHAnsi" w:hAnsiTheme="minorHAnsi" w:cstheme="minorHAnsi"/>
        </w:rPr>
        <w:t>d</w:t>
      </w:r>
      <w:r w:rsidRPr="00165499">
        <w:rPr>
          <w:rFonts w:asciiTheme="minorHAnsi" w:hAnsiTheme="minorHAnsi" w:cstheme="minorHAnsi"/>
        </w:rPr>
        <w:t xml:space="preserve">eliberação à </w:t>
      </w:r>
      <w:r w:rsidR="001A324A" w:rsidRPr="00165499">
        <w:rPr>
          <w:rFonts w:asciiTheme="minorHAnsi" w:hAnsiTheme="minorHAnsi" w:cstheme="minorHAnsi"/>
        </w:rPr>
        <w:t>Gerência Administrativa e Financeira</w:t>
      </w:r>
      <w:r w:rsidR="007E5451" w:rsidRPr="00165499">
        <w:rPr>
          <w:rFonts w:asciiTheme="minorHAnsi" w:hAnsiTheme="minorHAnsi" w:cstheme="minorHAnsi"/>
        </w:rPr>
        <w:t xml:space="preserve"> para </w:t>
      </w:r>
      <w:r w:rsidR="00165499">
        <w:rPr>
          <w:rFonts w:asciiTheme="minorHAnsi" w:hAnsiTheme="minorHAnsi" w:cstheme="minorHAnsi"/>
        </w:rPr>
        <w:t>atendimento da decisão exarada pelo plenário</w:t>
      </w:r>
      <w:r w:rsidR="007E5451" w:rsidRPr="00165499">
        <w:rPr>
          <w:rFonts w:asciiTheme="minorHAnsi" w:hAnsiTheme="minorHAnsi" w:cstheme="minorHAnsi"/>
        </w:rPr>
        <w:t>.</w:t>
      </w:r>
    </w:p>
    <w:p w:rsidR="00165499" w:rsidRPr="00165499" w:rsidRDefault="00165499" w:rsidP="00165499">
      <w:pPr>
        <w:pStyle w:val="PargrafodaLista"/>
        <w:rPr>
          <w:rFonts w:asciiTheme="minorHAnsi" w:hAnsiTheme="minorHAnsi" w:cstheme="minorHAnsi"/>
        </w:rPr>
      </w:pPr>
    </w:p>
    <w:p w:rsidR="00507DD9" w:rsidRPr="00165499" w:rsidRDefault="004F4077">
      <w:pPr>
        <w:pStyle w:val="PargrafodaLista"/>
        <w:ind w:left="0"/>
        <w:jc w:val="both"/>
        <w:rPr>
          <w:rFonts w:asciiTheme="minorHAnsi" w:hAnsiTheme="minorHAnsi" w:cstheme="minorHAnsi"/>
          <w:u w:val="single"/>
          <w:lang w:eastAsia="pt-BR"/>
        </w:rPr>
      </w:pPr>
      <w:r w:rsidRPr="00165499">
        <w:rPr>
          <w:rFonts w:asciiTheme="minorHAnsi" w:hAnsiTheme="minorHAnsi" w:cstheme="minorHAnsi"/>
          <w:u w:val="single"/>
          <w:lang w:eastAsia="pt-BR"/>
        </w:rPr>
        <w:lastRenderedPageBreak/>
        <w:t xml:space="preserve">Esta deliberação entra em vigor na data de sua publicação. </w:t>
      </w:r>
    </w:p>
    <w:p w:rsidR="009F48A5" w:rsidRPr="008D6781" w:rsidRDefault="009F48A5" w:rsidP="008037A5">
      <w:pPr>
        <w:pStyle w:val="PargrafodaLista"/>
        <w:tabs>
          <w:tab w:val="left" w:pos="3969"/>
        </w:tabs>
        <w:ind w:left="0"/>
        <w:jc w:val="center"/>
        <w:rPr>
          <w:rFonts w:asciiTheme="minorHAnsi" w:hAnsiTheme="minorHAnsi" w:cstheme="minorHAnsi"/>
          <w:u w:val="single"/>
          <w:lang w:eastAsia="pt-BR"/>
        </w:rPr>
      </w:pPr>
    </w:p>
    <w:p w:rsidR="007174A2" w:rsidRPr="00734A5A" w:rsidRDefault="007174A2" w:rsidP="007174A2">
      <w:pPr>
        <w:jc w:val="both"/>
        <w:rPr>
          <w:rFonts w:asciiTheme="minorHAnsi" w:hAnsiTheme="minorHAnsi" w:cstheme="minorHAnsi"/>
        </w:rPr>
      </w:pPr>
      <w:r w:rsidRPr="008F1E06">
        <w:rPr>
          <w:rFonts w:asciiTheme="minorHAnsi" w:hAnsiTheme="minorHAnsi" w:cstheme="minorHAnsi"/>
          <w:color w:val="000000"/>
        </w:rPr>
        <w:t xml:space="preserve">Com </w:t>
      </w:r>
      <w:r w:rsidR="00823562">
        <w:rPr>
          <w:rFonts w:asciiTheme="minorHAnsi" w:hAnsiTheme="minorHAnsi" w:cstheme="minorHAnsi"/>
          <w:color w:val="000000"/>
        </w:rPr>
        <w:t>10</w:t>
      </w:r>
      <w:r w:rsidRPr="008F1E06">
        <w:rPr>
          <w:rFonts w:asciiTheme="minorHAnsi" w:hAnsiTheme="minorHAnsi" w:cstheme="minorHAnsi"/>
          <w:color w:val="000000"/>
        </w:rPr>
        <w:t xml:space="preserve"> (</w:t>
      </w:r>
      <w:r w:rsidR="00823562">
        <w:rPr>
          <w:rFonts w:asciiTheme="minorHAnsi" w:hAnsiTheme="minorHAnsi" w:cstheme="minorHAnsi"/>
          <w:color w:val="000000"/>
        </w:rPr>
        <w:t>dez</w:t>
      </w:r>
      <w:r w:rsidRPr="008F1E06">
        <w:rPr>
          <w:rFonts w:asciiTheme="minorHAnsi" w:hAnsiTheme="minorHAnsi" w:cstheme="minorHAnsi"/>
          <w:color w:val="000000"/>
        </w:rPr>
        <w:t>) votos favoráveis, das conselheiras Andréa Larruscah</w:t>
      </w:r>
      <w:r w:rsidR="00425119">
        <w:rPr>
          <w:rFonts w:asciiTheme="minorHAnsi" w:hAnsiTheme="minorHAnsi" w:cstheme="minorHAnsi"/>
          <w:color w:val="000000"/>
        </w:rPr>
        <w:t>im Hamilton Ilha, Deise Flores,</w:t>
      </w:r>
      <w:r w:rsidRPr="008F1E06">
        <w:rPr>
          <w:rFonts w:asciiTheme="minorHAnsi" w:hAnsiTheme="minorHAnsi" w:cstheme="minorHAnsi"/>
          <w:color w:val="000000"/>
        </w:rPr>
        <w:t xml:space="preserve"> Lidia Glacir Gomes Rodrigues, Marcia Elizabeth Martins</w:t>
      </w:r>
      <w:r w:rsidR="00425119">
        <w:rPr>
          <w:rFonts w:asciiTheme="minorHAnsi" w:hAnsiTheme="minorHAnsi" w:cstheme="minorHAnsi"/>
          <w:color w:val="000000"/>
        </w:rPr>
        <w:t xml:space="preserve"> e </w:t>
      </w:r>
      <w:r w:rsidRPr="008F1E06">
        <w:rPr>
          <w:rFonts w:asciiTheme="minorHAnsi" w:hAnsiTheme="minorHAnsi" w:cstheme="minorHAnsi"/>
          <w:color w:val="000000"/>
        </w:rPr>
        <w:t xml:space="preserve">Orildes Tres e </w:t>
      </w:r>
      <w:r w:rsidRPr="008F1E06">
        <w:rPr>
          <w:rFonts w:asciiTheme="minorHAnsi" w:hAnsiTheme="minorHAnsi" w:cstheme="minorHAnsi"/>
        </w:rPr>
        <w:t xml:space="preserve">dos conselheiros Alexandre Giorgi, </w:t>
      </w:r>
      <w:r w:rsidRPr="008F1E06">
        <w:rPr>
          <w:rFonts w:asciiTheme="minorHAnsi" w:hAnsiTheme="minorHAnsi" w:cstheme="minorHAnsi"/>
          <w:color w:val="000000"/>
        </w:rPr>
        <w:t>Carlos Eduardo Iponema Costa</w:t>
      </w:r>
      <w:r>
        <w:rPr>
          <w:rFonts w:asciiTheme="minorHAnsi" w:hAnsiTheme="minorHAnsi" w:cstheme="minorHAnsi"/>
          <w:color w:val="000000"/>
        </w:rPr>
        <w:t>,</w:t>
      </w:r>
      <w:r w:rsidRPr="008F1E06">
        <w:rPr>
          <w:rFonts w:asciiTheme="minorHAnsi" w:hAnsiTheme="minorHAnsi" w:cstheme="minorHAnsi"/>
        </w:rPr>
        <w:t xml:space="preserve"> Carlos Eduardo </w:t>
      </w:r>
      <w:r w:rsidR="00425119">
        <w:rPr>
          <w:rFonts w:asciiTheme="minorHAnsi" w:hAnsiTheme="minorHAnsi" w:cstheme="minorHAnsi"/>
        </w:rPr>
        <w:t>Mesquita Pedone</w:t>
      </w:r>
      <w:r w:rsidRPr="008F1E06">
        <w:rPr>
          <w:rFonts w:asciiTheme="minorHAnsi" w:hAnsiTheme="minorHAnsi" w:cstheme="minorHAnsi"/>
        </w:rPr>
        <w:t xml:space="preserve">, Fausto Henrique Steffen, Rafael Ártico e; </w:t>
      </w:r>
      <w:r w:rsidR="00425119">
        <w:rPr>
          <w:rFonts w:asciiTheme="minorHAnsi" w:hAnsiTheme="minorHAnsi" w:cstheme="minorHAnsi"/>
        </w:rPr>
        <w:t xml:space="preserve">05 (cinco) abstenções, das conselheiras </w:t>
      </w:r>
      <w:r w:rsidR="00425119" w:rsidRPr="008F1E06">
        <w:rPr>
          <w:rFonts w:asciiTheme="minorHAnsi" w:hAnsiTheme="minorHAnsi" w:cstheme="minorHAnsi"/>
          <w:color w:val="000000"/>
        </w:rPr>
        <w:t>Denise dos Santos Simões</w:t>
      </w:r>
      <w:r w:rsidR="00425119">
        <w:rPr>
          <w:rFonts w:asciiTheme="minorHAnsi" w:hAnsiTheme="minorHAnsi" w:cstheme="minorHAnsi"/>
          <w:color w:val="000000"/>
        </w:rPr>
        <w:t xml:space="preserve">, </w:t>
      </w:r>
      <w:r w:rsidR="00425119" w:rsidRPr="008F1E06">
        <w:rPr>
          <w:rFonts w:asciiTheme="minorHAnsi" w:hAnsiTheme="minorHAnsi" w:cstheme="minorHAnsi"/>
        </w:rPr>
        <w:t xml:space="preserve"> </w:t>
      </w:r>
      <w:r w:rsidR="00425119" w:rsidRPr="008F1E06">
        <w:rPr>
          <w:rFonts w:asciiTheme="minorHAnsi" w:hAnsiTheme="minorHAnsi" w:cstheme="minorHAnsi"/>
          <w:color w:val="000000"/>
        </w:rPr>
        <w:t>Gislaine Vargas Saibro, Ingrid Louise de Souza Dahm</w:t>
      </w:r>
      <w:r w:rsidR="00425119">
        <w:rPr>
          <w:rFonts w:asciiTheme="minorHAnsi" w:hAnsiTheme="minorHAnsi" w:cstheme="minorHAnsi"/>
          <w:color w:val="000000"/>
        </w:rPr>
        <w:t xml:space="preserve"> e </w:t>
      </w:r>
      <w:r w:rsidR="00425119" w:rsidRPr="008F1E06">
        <w:rPr>
          <w:rFonts w:asciiTheme="minorHAnsi" w:hAnsiTheme="minorHAnsi" w:cstheme="minorHAnsi"/>
        </w:rPr>
        <w:t xml:space="preserve"> </w:t>
      </w:r>
      <w:r w:rsidR="00425119" w:rsidRPr="008F1E06">
        <w:rPr>
          <w:rFonts w:asciiTheme="minorHAnsi" w:hAnsiTheme="minorHAnsi" w:cstheme="minorHAnsi"/>
          <w:color w:val="000000"/>
        </w:rPr>
        <w:t xml:space="preserve">Silvia Monteiro Barakat </w:t>
      </w:r>
      <w:r w:rsidR="00425119">
        <w:rPr>
          <w:rFonts w:asciiTheme="minorHAnsi" w:hAnsiTheme="minorHAnsi" w:cstheme="minorHAnsi"/>
          <w:color w:val="000000"/>
        </w:rPr>
        <w:t xml:space="preserve">e do conselheiro </w:t>
      </w:r>
      <w:r w:rsidR="00425119" w:rsidRPr="00425119">
        <w:rPr>
          <w:rFonts w:asciiTheme="minorHAnsi" w:hAnsiTheme="minorHAnsi" w:cstheme="minorHAnsi"/>
          <w:color w:val="000000"/>
        </w:rPr>
        <w:t xml:space="preserve">Emílio Merino </w:t>
      </w:r>
      <w:r w:rsidRPr="008F1E06">
        <w:rPr>
          <w:rFonts w:asciiTheme="minorHAnsi" w:hAnsiTheme="minorHAnsi" w:cstheme="minorHAnsi"/>
        </w:rPr>
        <w:t xml:space="preserve">e </w:t>
      </w:r>
      <w:r w:rsidR="00425119">
        <w:rPr>
          <w:rFonts w:asciiTheme="minorHAnsi" w:hAnsiTheme="minorHAnsi" w:cstheme="minorHAnsi"/>
        </w:rPr>
        <w:t>07</w:t>
      </w:r>
      <w:r w:rsidRPr="008F1E06">
        <w:rPr>
          <w:rFonts w:asciiTheme="minorHAnsi" w:hAnsiTheme="minorHAnsi" w:cstheme="minorHAnsi"/>
        </w:rPr>
        <w:t xml:space="preserve"> (</w:t>
      </w:r>
      <w:r w:rsidR="00425119">
        <w:rPr>
          <w:rFonts w:asciiTheme="minorHAnsi" w:hAnsiTheme="minorHAnsi" w:cstheme="minorHAnsi"/>
        </w:rPr>
        <w:t>sete</w:t>
      </w:r>
      <w:r w:rsidRPr="008F1E06">
        <w:rPr>
          <w:rFonts w:asciiTheme="minorHAnsi" w:hAnsiTheme="minorHAnsi" w:cstheme="minorHAnsi"/>
        </w:rPr>
        <w:t>) ausências, das conselheiras Aline Pedroso da Croce, Débora Francele Rodri</w:t>
      </w:r>
      <w:r>
        <w:rPr>
          <w:rFonts w:asciiTheme="minorHAnsi" w:hAnsiTheme="minorHAnsi" w:cstheme="minorHAnsi"/>
        </w:rPr>
        <w:t>gues da Silva</w:t>
      </w:r>
      <w:r w:rsidR="00425119">
        <w:rPr>
          <w:rFonts w:asciiTheme="minorHAnsi" w:hAnsiTheme="minorHAnsi" w:cstheme="minorHAnsi"/>
        </w:rPr>
        <w:t>,</w:t>
      </w:r>
      <w:r>
        <w:rPr>
          <w:rFonts w:asciiTheme="minorHAnsi" w:hAnsiTheme="minorHAnsi" w:cstheme="minorHAnsi"/>
        </w:rPr>
        <w:t xml:space="preserve"> </w:t>
      </w:r>
      <w:r w:rsidR="00425119" w:rsidRPr="008F1E06">
        <w:rPr>
          <w:rFonts w:asciiTheme="minorHAnsi" w:hAnsiTheme="minorHAnsi" w:cstheme="minorHAnsi"/>
          <w:color w:val="000000"/>
        </w:rPr>
        <w:t>Evelise Jaime de Menezes</w:t>
      </w:r>
      <w:r w:rsidR="00425119">
        <w:rPr>
          <w:rFonts w:asciiTheme="minorHAnsi" w:hAnsiTheme="minorHAnsi" w:cstheme="minorHAnsi"/>
        </w:rPr>
        <w:t xml:space="preserve"> </w:t>
      </w:r>
      <w:r>
        <w:rPr>
          <w:rFonts w:asciiTheme="minorHAnsi" w:hAnsiTheme="minorHAnsi" w:cstheme="minorHAnsi"/>
        </w:rPr>
        <w:t>e Magali Mingotti e do</w:t>
      </w:r>
      <w:r w:rsidR="00425119">
        <w:rPr>
          <w:rFonts w:asciiTheme="minorHAnsi" w:hAnsiTheme="minorHAnsi" w:cstheme="minorHAnsi"/>
        </w:rPr>
        <w:t>s</w:t>
      </w:r>
      <w:r>
        <w:rPr>
          <w:rFonts w:asciiTheme="minorHAnsi" w:hAnsiTheme="minorHAnsi" w:cstheme="minorHAnsi"/>
        </w:rPr>
        <w:t xml:space="preserve"> conselheiro</w:t>
      </w:r>
      <w:r w:rsidR="00425119">
        <w:rPr>
          <w:rFonts w:asciiTheme="minorHAnsi" w:hAnsiTheme="minorHAnsi" w:cstheme="minorHAnsi"/>
        </w:rPr>
        <w:t>s</w:t>
      </w:r>
      <w:r>
        <w:rPr>
          <w:rFonts w:asciiTheme="minorHAnsi" w:hAnsiTheme="minorHAnsi" w:cstheme="minorHAnsi"/>
        </w:rPr>
        <w:t xml:space="preserve"> </w:t>
      </w:r>
      <w:r w:rsidR="00425119" w:rsidRPr="008F1E06">
        <w:rPr>
          <w:rFonts w:asciiTheme="minorHAnsi" w:hAnsiTheme="minorHAnsi" w:cstheme="minorHAnsi"/>
        </w:rPr>
        <w:t>Fábio Müller,</w:t>
      </w:r>
      <w:r w:rsidR="00425119">
        <w:rPr>
          <w:rFonts w:asciiTheme="minorHAnsi" w:hAnsiTheme="minorHAnsi" w:cstheme="minorHAnsi"/>
        </w:rPr>
        <w:t xml:space="preserve"> </w:t>
      </w:r>
      <w:r w:rsidRPr="008F1E06">
        <w:rPr>
          <w:rFonts w:asciiTheme="minorHAnsi" w:hAnsiTheme="minorHAnsi" w:cstheme="minorHAnsi"/>
        </w:rPr>
        <w:t>Rinaldo Ferreira Barbosa</w:t>
      </w:r>
      <w:r w:rsidR="00425119">
        <w:rPr>
          <w:rFonts w:asciiTheme="minorHAnsi" w:hAnsiTheme="minorHAnsi" w:cstheme="minorHAnsi"/>
          <w:color w:val="000000"/>
        </w:rPr>
        <w:t xml:space="preserve"> e</w:t>
      </w:r>
      <w:r w:rsidR="00425119" w:rsidRPr="00425119">
        <w:rPr>
          <w:rFonts w:asciiTheme="minorHAnsi" w:hAnsiTheme="minorHAnsi" w:cstheme="minorHAnsi"/>
        </w:rPr>
        <w:t xml:space="preserve"> </w:t>
      </w:r>
      <w:r w:rsidR="00425119" w:rsidRPr="008F1E06">
        <w:rPr>
          <w:rFonts w:asciiTheme="minorHAnsi" w:hAnsiTheme="minorHAnsi" w:cstheme="minorHAnsi"/>
        </w:rPr>
        <w:t>Rodrigo Spinelli</w:t>
      </w:r>
      <w:r w:rsidR="00425119">
        <w:rPr>
          <w:rFonts w:asciiTheme="minorHAnsi" w:hAnsiTheme="minorHAnsi" w:cstheme="minorHAnsi"/>
        </w:rPr>
        <w:t>.</w:t>
      </w:r>
    </w:p>
    <w:p w:rsidR="00507DD9" w:rsidRDefault="00507DD9">
      <w:pPr>
        <w:pStyle w:val="PargrafodaLista"/>
        <w:ind w:left="0" w:right="133"/>
        <w:jc w:val="center"/>
        <w:rPr>
          <w:rFonts w:asciiTheme="minorHAnsi" w:hAnsiTheme="minorHAnsi" w:cstheme="minorHAnsi"/>
        </w:rPr>
      </w:pPr>
    </w:p>
    <w:p w:rsidR="001A324A" w:rsidRPr="008D6781" w:rsidRDefault="001A324A">
      <w:pPr>
        <w:pStyle w:val="PargrafodaLista"/>
        <w:ind w:left="0" w:right="133"/>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r w:rsidRPr="008D6781">
        <w:rPr>
          <w:rFonts w:asciiTheme="minorHAnsi" w:hAnsiTheme="minorHAnsi" w:cstheme="minorHAnsi"/>
        </w:rPr>
        <w:t xml:space="preserve">Porto Alegre – RS, </w:t>
      </w:r>
      <w:r w:rsidR="00867F97">
        <w:rPr>
          <w:rFonts w:asciiTheme="minorHAnsi" w:hAnsiTheme="minorHAnsi" w:cstheme="minorHAnsi"/>
        </w:rPr>
        <w:t xml:space="preserve">29 de julho </w:t>
      </w:r>
      <w:r w:rsidRPr="008D6781">
        <w:rPr>
          <w:rFonts w:asciiTheme="minorHAnsi" w:hAnsiTheme="minorHAnsi" w:cstheme="minorHAnsi"/>
        </w:rPr>
        <w:t>de 2022.</w:t>
      </w:r>
    </w:p>
    <w:p w:rsidR="00871AD5" w:rsidRDefault="00871AD5" w:rsidP="00871AD5">
      <w:pPr>
        <w:jc w:val="center"/>
        <w:rPr>
          <w:rFonts w:asciiTheme="minorHAnsi" w:hAnsiTheme="minorHAnsi" w:cstheme="minorHAnsi"/>
        </w:rPr>
      </w:pPr>
    </w:p>
    <w:p w:rsidR="003347BC" w:rsidRDefault="003347BC" w:rsidP="00871AD5">
      <w:pPr>
        <w:jc w:val="center"/>
        <w:rPr>
          <w:rFonts w:asciiTheme="minorHAnsi" w:hAnsiTheme="minorHAnsi" w:cstheme="minorHAnsi"/>
        </w:rPr>
      </w:pPr>
    </w:p>
    <w:p w:rsidR="003347BC" w:rsidRPr="008D6781" w:rsidRDefault="003347BC"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rPr>
      </w:pPr>
    </w:p>
    <w:p w:rsidR="00871AD5" w:rsidRPr="008D6781" w:rsidRDefault="00871AD5" w:rsidP="00871AD5">
      <w:pPr>
        <w:jc w:val="center"/>
        <w:rPr>
          <w:rFonts w:asciiTheme="minorHAnsi" w:hAnsiTheme="minorHAnsi" w:cstheme="minorHAnsi"/>
          <w:b/>
        </w:rPr>
      </w:pPr>
      <w:r w:rsidRPr="008D6781">
        <w:rPr>
          <w:rFonts w:asciiTheme="minorHAnsi" w:hAnsiTheme="minorHAnsi" w:cstheme="minorHAnsi"/>
        </w:rPr>
        <w:tab/>
      </w:r>
      <w:r w:rsidRPr="008D6781">
        <w:rPr>
          <w:rFonts w:asciiTheme="minorHAnsi" w:hAnsiTheme="minorHAnsi" w:cstheme="minorHAnsi"/>
          <w:b/>
        </w:rPr>
        <w:t xml:space="preserve">TIAGO HOLZMANN DA SILVA </w:t>
      </w:r>
      <w:r w:rsidRPr="008D6781">
        <w:rPr>
          <w:rFonts w:asciiTheme="minorHAnsi" w:hAnsiTheme="minorHAnsi" w:cstheme="minorHAnsi"/>
          <w:b/>
        </w:rPr>
        <w:tab/>
      </w:r>
    </w:p>
    <w:p w:rsidR="00507DD9" w:rsidRPr="008D6781" w:rsidRDefault="00871AD5" w:rsidP="00871AD5">
      <w:pPr>
        <w:jc w:val="center"/>
        <w:rPr>
          <w:rFonts w:asciiTheme="minorHAnsi" w:hAnsiTheme="minorHAnsi" w:cstheme="minorHAnsi"/>
        </w:rPr>
        <w:sectPr w:rsidR="00507DD9" w:rsidRPr="008D6781"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D6781">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8D6781">
        <w:rPr>
          <w:rFonts w:asciiTheme="minorHAnsi" w:hAnsiTheme="minorHAnsi" w:cstheme="minorHAnsi"/>
          <w:b/>
          <w:bCs/>
          <w:sz w:val="22"/>
          <w:szCs w:val="22"/>
          <w:lang w:eastAsia="pt-BR"/>
        </w:rPr>
        <w:t>4</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44"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A90A79" w:rsidRPr="009116E7" w:rsidTr="00A90A79">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A90A79" w:rsidRPr="00A90A79" w:rsidRDefault="00A90A79" w:rsidP="001A324A">
            <w:pPr>
              <w:pStyle w:val="PargrafodaLista"/>
              <w:shd w:val="clear" w:color="auto" w:fill="FFFFFF"/>
              <w:spacing w:line="276" w:lineRule="atLeast"/>
              <w:ind w:left="426"/>
              <w:jc w:val="center"/>
              <w:rPr>
                <w:rFonts w:asciiTheme="minorHAnsi"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D66EB1">
              <w:rPr>
                <w:rFonts w:asciiTheme="minorHAnsi" w:eastAsia="Times New Roman" w:hAnsiTheme="minorHAnsi" w:cstheme="minorHAnsi"/>
                <w:sz w:val="22"/>
                <w:szCs w:val="22"/>
                <w:lang w:eastAsia="pt-BR"/>
              </w:rPr>
              <w:t>1493</w:t>
            </w:r>
            <w:r w:rsidRPr="009116E7">
              <w:rPr>
                <w:rFonts w:asciiTheme="minorHAnsi" w:eastAsia="Times New Roman" w:hAnsiTheme="minorHAnsi" w:cstheme="minorHAnsi"/>
                <w:sz w:val="22"/>
                <w:szCs w:val="22"/>
                <w:lang w:eastAsia="pt-BR"/>
              </w:rPr>
              <w:t>/2022 - Protocolo nº</w:t>
            </w:r>
            <w:r w:rsidR="001A324A">
              <w:rPr>
                <w:rFonts w:asciiTheme="minorHAnsi" w:eastAsia="Times New Roman" w:hAnsiTheme="minorHAnsi" w:cstheme="minorHAnsi"/>
                <w:sz w:val="22"/>
                <w:szCs w:val="22"/>
                <w:lang w:eastAsia="pt-BR"/>
              </w:rPr>
              <w:t xml:space="preserve"> </w:t>
            </w:r>
            <w:r w:rsidR="00D66EB1" w:rsidRPr="00D66EB1">
              <w:rPr>
                <w:rFonts w:asciiTheme="minorHAnsi" w:eastAsia="Times New Roman" w:hAnsiTheme="minorHAnsi" w:cstheme="minorHAnsi"/>
                <w:sz w:val="22"/>
                <w:szCs w:val="22"/>
                <w:lang w:eastAsia="pt-BR"/>
              </w:rPr>
              <w:t>1553406</w:t>
            </w:r>
            <w:r>
              <w:rPr>
                <w:rFonts w:asciiTheme="minorHAnsi" w:hAnsiTheme="minorHAnsi" w:cstheme="minorHAnsi"/>
                <w:sz w:val="22"/>
                <w:szCs w:val="22"/>
                <w:lang w:eastAsia="pt-BR"/>
              </w:rPr>
              <w:t>/20</w:t>
            </w:r>
            <w:r w:rsidR="008D6781">
              <w:rPr>
                <w:rFonts w:asciiTheme="minorHAnsi" w:hAnsiTheme="minorHAnsi" w:cstheme="minorHAnsi"/>
                <w:sz w:val="22"/>
                <w:szCs w:val="22"/>
                <w:lang w:eastAsia="pt-BR"/>
              </w:rPr>
              <w:t>2</w:t>
            </w:r>
            <w:r w:rsidR="00590282">
              <w:rPr>
                <w:rFonts w:asciiTheme="minorHAnsi" w:hAnsiTheme="minorHAnsi" w:cstheme="minorHAnsi"/>
                <w:sz w:val="22"/>
                <w:szCs w:val="22"/>
                <w:lang w:eastAsia="pt-BR"/>
              </w:rPr>
              <w:t>2</w:t>
            </w:r>
          </w:p>
        </w:tc>
      </w:tr>
      <w:tr w:rsidR="00A90A79" w:rsidRPr="009116E7" w:rsidTr="00A5706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rsidR="00A90A79" w:rsidRPr="009116E7" w:rsidRDefault="00A90A79"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1417" w:type="dxa"/>
            <w:vAlign w:val="center"/>
            <w:hideMark/>
          </w:tcPr>
          <w:p w:rsidR="00A90A79" w:rsidRPr="009116E7" w:rsidRDefault="00A90A79" w:rsidP="00A90A79">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Favorável</w:t>
            </w:r>
          </w:p>
        </w:tc>
        <w:tc>
          <w:tcPr>
            <w:tcW w:w="1418"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Contrário</w:t>
            </w:r>
          </w:p>
        </w:tc>
        <w:tc>
          <w:tcPr>
            <w:tcW w:w="1417"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Abstenção</w:t>
            </w:r>
          </w:p>
        </w:tc>
        <w:tc>
          <w:tcPr>
            <w:tcW w:w="1269"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Ausência</w:t>
            </w:r>
          </w:p>
        </w:tc>
      </w:tr>
      <w:tr w:rsidR="00823562" w:rsidRPr="009116E7" w:rsidTr="00A129B9">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823562" w:rsidRDefault="00823562" w:rsidP="00823562">
            <w:pPr>
              <w:pStyle w:val="PargrafodaLista"/>
              <w:numPr>
                <w:ilvl w:val="0"/>
                <w:numId w:val="21"/>
              </w:numPr>
              <w:ind w:left="454" w:hanging="425"/>
              <w:rPr>
                <w:rFonts w:ascii="Calibri" w:eastAsia="Times New Roman" w:hAnsi="Calibri" w:cs="Calibri"/>
                <w:b w:val="0"/>
                <w:sz w:val="22"/>
                <w:szCs w:val="22"/>
              </w:rPr>
            </w:pPr>
            <w:r w:rsidRPr="00823562">
              <w:rPr>
                <w:rFonts w:ascii="Calibri" w:hAnsi="Calibri" w:cs="Calibri"/>
                <w:b w:val="0"/>
                <w:sz w:val="22"/>
                <w:szCs w:val="22"/>
              </w:rPr>
              <w:t>Alexandre Giorgi </w:t>
            </w:r>
          </w:p>
        </w:tc>
        <w:tc>
          <w:tcPr>
            <w:tcW w:w="1417" w:type="dxa"/>
            <w:vAlign w:val="center"/>
          </w:tcPr>
          <w:p w:rsidR="00823562"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Pr>
                <w:rFonts w:ascii="Calibri" w:hAnsi="Calibri" w:cs="Calibri"/>
                <w:sz w:val="22"/>
                <w:szCs w:val="22"/>
              </w:rPr>
              <w:t>X</w:t>
            </w:r>
          </w:p>
        </w:tc>
        <w:tc>
          <w:tcPr>
            <w:tcW w:w="1418" w:type="dxa"/>
          </w:tcPr>
          <w:p w:rsidR="00823562" w:rsidRPr="00A90A79"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823562" w:rsidRPr="00A90A79"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823562" w:rsidRPr="00A90A79"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23562" w:rsidRPr="009116E7" w:rsidTr="00A129B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Aline Pedroso da Croce </w:t>
            </w:r>
          </w:p>
        </w:tc>
        <w:tc>
          <w:tcPr>
            <w:tcW w:w="1417" w:type="dxa"/>
            <w:vAlign w:val="center"/>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823562" w:rsidRPr="00A90A79"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Pr>
                <w:rFonts w:ascii="Calibri" w:eastAsia="Times New Roman" w:hAnsi="Calibri" w:cstheme="minorHAnsi"/>
                <w:sz w:val="22"/>
                <w:szCs w:val="22"/>
              </w:rPr>
              <w:t>X</w:t>
            </w:r>
          </w:p>
        </w:tc>
      </w:tr>
      <w:tr w:rsidR="00823562" w:rsidRPr="009116E7" w:rsidTr="004E2FD3">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Andréa Larruscahim Hamilton Ilha</w:t>
            </w:r>
          </w:p>
        </w:tc>
        <w:tc>
          <w:tcPr>
            <w:tcW w:w="1417"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pPr>
            <w:r w:rsidRPr="00F1148B">
              <w:rPr>
                <w:rFonts w:ascii="Calibri" w:hAnsi="Calibri" w:cs="Calibri"/>
                <w:sz w:val="22"/>
                <w:szCs w:val="22"/>
              </w:rPr>
              <w:t>X</w:t>
            </w:r>
          </w:p>
        </w:tc>
        <w:tc>
          <w:tcPr>
            <w:tcW w:w="1418"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823562" w:rsidRPr="00A90A79"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23562" w:rsidRPr="009116E7" w:rsidTr="004E2FD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Carlos Eduardo Iponema Costa </w:t>
            </w:r>
          </w:p>
        </w:tc>
        <w:tc>
          <w:tcPr>
            <w:tcW w:w="1417"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pPr>
            <w:r w:rsidRPr="00F1148B">
              <w:rPr>
                <w:rFonts w:ascii="Calibri" w:hAnsi="Calibri" w:cs="Calibri"/>
                <w:sz w:val="22"/>
                <w:szCs w:val="22"/>
              </w:rPr>
              <w:t>X</w:t>
            </w:r>
          </w:p>
        </w:tc>
        <w:tc>
          <w:tcPr>
            <w:tcW w:w="1418"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823562" w:rsidRPr="00A90A79"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23562" w:rsidRPr="009116E7" w:rsidTr="004E2FD3">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Carlos Eduardo Mesquita Pedone</w:t>
            </w:r>
          </w:p>
        </w:tc>
        <w:tc>
          <w:tcPr>
            <w:tcW w:w="1417"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pPr>
            <w:r w:rsidRPr="00F1148B">
              <w:rPr>
                <w:rFonts w:ascii="Calibri" w:hAnsi="Calibri" w:cs="Calibri"/>
                <w:sz w:val="22"/>
                <w:szCs w:val="22"/>
              </w:rPr>
              <w:t>X</w:t>
            </w:r>
          </w:p>
        </w:tc>
        <w:tc>
          <w:tcPr>
            <w:tcW w:w="1418"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823562" w:rsidRPr="00A90A79"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823562" w:rsidRPr="009116E7" w:rsidTr="00A129B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Débora Francele Rodrigues da Silva</w:t>
            </w:r>
          </w:p>
        </w:tc>
        <w:tc>
          <w:tcPr>
            <w:tcW w:w="1417" w:type="dxa"/>
            <w:vAlign w:val="center"/>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823562" w:rsidRPr="00A90A79"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823562" w:rsidRPr="009116E7" w:rsidTr="00A129B9">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Deise Flores</w:t>
            </w:r>
          </w:p>
        </w:tc>
        <w:tc>
          <w:tcPr>
            <w:tcW w:w="1417" w:type="dxa"/>
            <w:vAlign w:val="center"/>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1148B">
              <w:rPr>
                <w:rFonts w:ascii="Calibri" w:hAnsi="Calibri" w:cs="Calibri"/>
                <w:sz w:val="22"/>
                <w:szCs w:val="22"/>
              </w:rPr>
              <w:t>X</w:t>
            </w:r>
          </w:p>
        </w:tc>
        <w:tc>
          <w:tcPr>
            <w:tcW w:w="1418"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823562" w:rsidRPr="00A90A79"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23562" w:rsidRPr="009116E7" w:rsidTr="00A129B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Denise dos Santos Simões </w:t>
            </w:r>
          </w:p>
        </w:tc>
        <w:tc>
          <w:tcPr>
            <w:tcW w:w="1417" w:type="dxa"/>
            <w:vAlign w:val="center"/>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1148B">
              <w:rPr>
                <w:rFonts w:ascii="Calibri" w:hAnsi="Calibri" w:cs="Calibri"/>
                <w:sz w:val="22"/>
                <w:szCs w:val="22"/>
              </w:rPr>
              <w:t>X</w:t>
            </w:r>
          </w:p>
        </w:tc>
        <w:tc>
          <w:tcPr>
            <w:tcW w:w="1269" w:type="dxa"/>
          </w:tcPr>
          <w:p w:rsidR="00823562" w:rsidRPr="00A90A79"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23562" w:rsidRPr="009116E7" w:rsidTr="00A129B9">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Emílio Merino</w:t>
            </w:r>
          </w:p>
        </w:tc>
        <w:tc>
          <w:tcPr>
            <w:tcW w:w="1417" w:type="dxa"/>
            <w:vAlign w:val="center"/>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F1148B">
              <w:rPr>
                <w:rFonts w:ascii="Calibri" w:eastAsia="Times New Roman" w:hAnsi="Calibri" w:cstheme="minorHAnsi"/>
                <w:sz w:val="22"/>
                <w:szCs w:val="22"/>
              </w:rPr>
              <w:t>X</w:t>
            </w:r>
          </w:p>
        </w:tc>
        <w:tc>
          <w:tcPr>
            <w:tcW w:w="1269" w:type="dxa"/>
          </w:tcPr>
          <w:p w:rsidR="00823562" w:rsidRPr="00A90A79"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823562" w:rsidRPr="009116E7" w:rsidTr="00A129B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Evelise Jaime de Menezes </w:t>
            </w:r>
          </w:p>
        </w:tc>
        <w:tc>
          <w:tcPr>
            <w:tcW w:w="1417" w:type="dxa"/>
            <w:vAlign w:val="center"/>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823562" w:rsidRPr="00A90A79"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823562" w:rsidRPr="009116E7" w:rsidTr="00A129B9">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Fábio Müller </w:t>
            </w:r>
          </w:p>
        </w:tc>
        <w:tc>
          <w:tcPr>
            <w:tcW w:w="1417" w:type="dxa"/>
            <w:vAlign w:val="center"/>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823562" w:rsidRPr="00A90A79"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Pr>
                <w:rFonts w:ascii="Calibri" w:eastAsia="Times New Roman" w:hAnsi="Calibri" w:cstheme="minorHAnsi"/>
                <w:sz w:val="22"/>
                <w:szCs w:val="22"/>
              </w:rPr>
              <w:t>X</w:t>
            </w:r>
          </w:p>
        </w:tc>
      </w:tr>
      <w:tr w:rsidR="00823562" w:rsidRPr="009116E7" w:rsidTr="00A129B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Fausto Henrique Steffen </w:t>
            </w:r>
          </w:p>
        </w:tc>
        <w:tc>
          <w:tcPr>
            <w:tcW w:w="1417" w:type="dxa"/>
            <w:vAlign w:val="center"/>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1148B">
              <w:rPr>
                <w:rFonts w:ascii="Calibri" w:hAnsi="Calibri" w:cs="Calibri"/>
                <w:sz w:val="22"/>
                <w:szCs w:val="22"/>
              </w:rPr>
              <w:t>X</w:t>
            </w:r>
          </w:p>
        </w:tc>
        <w:tc>
          <w:tcPr>
            <w:tcW w:w="1418"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823562" w:rsidRPr="00A90A79"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823562" w:rsidRPr="009116E7" w:rsidTr="00A129B9">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Gislaine Vargas Saibro </w:t>
            </w:r>
          </w:p>
        </w:tc>
        <w:tc>
          <w:tcPr>
            <w:tcW w:w="1417" w:type="dxa"/>
            <w:vAlign w:val="center"/>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1148B">
              <w:rPr>
                <w:rFonts w:ascii="Calibri" w:hAnsi="Calibri" w:cs="Calibri"/>
                <w:sz w:val="22"/>
                <w:szCs w:val="22"/>
              </w:rPr>
              <w:t>X</w:t>
            </w:r>
          </w:p>
        </w:tc>
        <w:tc>
          <w:tcPr>
            <w:tcW w:w="1269" w:type="dxa"/>
          </w:tcPr>
          <w:p w:rsidR="00823562" w:rsidRPr="00A90A79"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23562" w:rsidRPr="009116E7" w:rsidTr="00A129B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Ingrid Louise de Souza Dahm </w:t>
            </w:r>
          </w:p>
        </w:tc>
        <w:tc>
          <w:tcPr>
            <w:tcW w:w="1417" w:type="dxa"/>
            <w:vAlign w:val="center"/>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sidRPr="00F1148B">
              <w:rPr>
                <w:rFonts w:ascii="Calibri" w:eastAsia="Times New Roman" w:hAnsi="Calibri" w:cstheme="minorHAnsi"/>
                <w:sz w:val="22"/>
                <w:szCs w:val="22"/>
              </w:rPr>
              <w:t>X</w:t>
            </w:r>
          </w:p>
        </w:tc>
        <w:tc>
          <w:tcPr>
            <w:tcW w:w="1269" w:type="dxa"/>
          </w:tcPr>
          <w:p w:rsidR="00823562" w:rsidRPr="00A90A79"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823562" w:rsidRPr="009116E7" w:rsidTr="00A129B9">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Lidia Glacir Gomes Rodrigues </w:t>
            </w:r>
          </w:p>
        </w:tc>
        <w:tc>
          <w:tcPr>
            <w:tcW w:w="1417" w:type="dxa"/>
            <w:vAlign w:val="center"/>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1148B">
              <w:rPr>
                <w:rFonts w:ascii="Calibri" w:hAnsi="Calibri" w:cs="Calibri"/>
                <w:sz w:val="22"/>
                <w:szCs w:val="22"/>
              </w:rPr>
              <w:t>X</w:t>
            </w:r>
          </w:p>
        </w:tc>
        <w:tc>
          <w:tcPr>
            <w:tcW w:w="1418"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823562" w:rsidRPr="00A90A79"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823562" w:rsidRPr="009116E7" w:rsidTr="00A129B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Magali Mingotti </w:t>
            </w:r>
          </w:p>
        </w:tc>
        <w:tc>
          <w:tcPr>
            <w:tcW w:w="1417" w:type="dxa"/>
            <w:vAlign w:val="center"/>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823562" w:rsidRPr="00A90A79"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823562" w:rsidRPr="009116E7" w:rsidTr="00DA1C3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Márcia Elizabeth Martins </w:t>
            </w:r>
          </w:p>
        </w:tc>
        <w:tc>
          <w:tcPr>
            <w:tcW w:w="1417"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pPr>
            <w:r w:rsidRPr="00F1148B">
              <w:rPr>
                <w:rFonts w:ascii="Calibri" w:hAnsi="Calibri" w:cs="Calibri"/>
                <w:sz w:val="22"/>
                <w:szCs w:val="22"/>
              </w:rPr>
              <w:t>X</w:t>
            </w:r>
          </w:p>
        </w:tc>
        <w:tc>
          <w:tcPr>
            <w:tcW w:w="1418"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823562" w:rsidRPr="00A90A79"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23562" w:rsidRPr="009116E7" w:rsidTr="00DA1C3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Orildes Tres </w:t>
            </w:r>
          </w:p>
        </w:tc>
        <w:tc>
          <w:tcPr>
            <w:tcW w:w="1417"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pPr>
            <w:r w:rsidRPr="00F1148B">
              <w:rPr>
                <w:rFonts w:ascii="Calibri" w:hAnsi="Calibri" w:cs="Calibri"/>
                <w:sz w:val="22"/>
                <w:szCs w:val="22"/>
              </w:rPr>
              <w:t>X</w:t>
            </w:r>
          </w:p>
        </w:tc>
        <w:tc>
          <w:tcPr>
            <w:tcW w:w="1418"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823562" w:rsidRPr="00A90A79"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23562" w:rsidRPr="009116E7" w:rsidTr="00DA1C3C">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Rafael Ártico </w:t>
            </w:r>
          </w:p>
        </w:tc>
        <w:tc>
          <w:tcPr>
            <w:tcW w:w="1417"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pPr>
            <w:r w:rsidRPr="00F1148B">
              <w:rPr>
                <w:rFonts w:ascii="Calibri" w:hAnsi="Calibri" w:cs="Calibri"/>
                <w:sz w:val="22"/>
                <w:szCs w:val="22"/>
              </w:rPr>
              <w:t>X</w:t>
            </w:r>
          </w:p>
        </w:tc>
        <w:tc>
          <w:tcPr>
            <w:tcW w:w="1418"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823562" w:rsidRPr="00A90A79"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23562" w:rsidRPr="009116E7" w:rsidTr="00A129B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Rinaldo Ferreira Barbosa </w:t>
            </w:r>
          </w:p>
        </w:tc>
        <w:tc>
          <w:tcPr>
            <w:tcW w:w="1417" w:type="dxa"/>
            <w:vAlign w:val="center"/>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823562" w:rsidRPr="00A90A79"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823562" w:rsidRPr="009116E7" w:rsidTr="00A129B9">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Rodrigo Spinelli </w:t>
            </w:r>
          </w:p>
        </w:tc>
        <w:tc>
          <w:tcPr>
            <w:tcW w:w="1417" w:type="dxa"/>
            <w:vAlign w:val="center"/>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823562" w:rsidRPr="00F1148B"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823562" w:rsidRPr="00A90A79" w:rsidRDefault="00823562" w:rsidP="0082356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Pr>
                <w:rFonts w:ascii="Calibri" w:eastAsia="Times New Roman" w:hAnsi="Calibri" w:cstheme="minorHAnsi"/>
                <w:sz w:val="22"/>
                <w:szCs w:val="22"/>
              </w:rPr>
              <w:t>X</w:t>
            </w:r>
            <w:bookmarkStart w:id="0" w:name="_GoBack"/>
            <w:bookmarkEnd w:id="0"/>
          </w:p>
        </w:tc>
      </w:tr>
      <w:tr w:rsidR="00823562" w:rsidRPr="009116E7" w:rsidTr="00A129B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823562" w:rsidRPr="00F1148B" w:rsidRDefault="00823562" w:rsidP="00823562">
            <w:pPr>
              <w:pStyle w:val="PargrafodaLista"/>
              <w:numPr>
                <w:ilvl w:val="0"/>
                <w:numId w:val="21"/>
              </w:numPr>
              <w:ind w:left="454" w:hanging="425"/>
              <w:rPr>
                <w:rFonts w:ascii="Calibri" w:hAnsi="Calibri" w:cs="Calibri"/>
                <w:b w:val="0"/>
                <w:sz w:val="22"/>
                <w:szCs w:val="22"/>
              </w:rPr>
            </w:pPr>
            <w:r w:rsidRPr="00F1148B">
              <w:rPr>
                <w:rFonts w:ascii="Calibri" w:hAnsi="Calibri" w:cs="Calibri"/>
                <w:b w:val="0"/>
                <w:sz w:val="22"/>
                <w:szCs w:val="22"/>
              </w:rPr>
              <w:t>Sílvia Monteiro Barakat </w:t>
            </w:r>
          </w:p>
        </w:tc>
        <w:tc>
          <w:tcPr>
            <w:tcW w:w="1417" w:type="dxa"/>
            <w:vAlign w:val="center"/>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823562" w:rsidRPr="00F1148B"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1148B">
              <w:rPr>
                <w:rFonts w:ascii="Calibri" w:hAnsi="Calibri" w:cs="Calibri"/>
                <w:sz w:val="22"/>
                <w:szCs w:val="22"/>
              </w:rPr>
              <w:t>X</w:t>
            </w:r>
          </w:p>
        </w:tc>
        <w:tc>
          <w:tcPr>
            <w:tcW w:w="1269" w:type="dxa"/>
          </w:tcPr>
          <w:p w:rsidR="00823562" w:rsidRPr="00A90A79" w:rsidRDefault="00823562" w:rsidP="008235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90A79" w:rsidRPr="009116E7" w:rsidTr="00A57067">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Pr>
          <w:p w:rsidR="00A90A79" w:rsidRPr="00F1148B" w:rsidRDefault="00A90A79" w:rsidP="008C57BF">
            <w:pPr>
              <w:jc w:val="center"/>
              <w:rPr>
                <w:rFonts w:asciiTheme="minorHAnsi" w:hAnsiTheme="minorHAnsi" w:cstheme="minorHAnsi"/>
                <w:sz w:val="22"/>
                <w:szCs w:val="22"/>
                <w:highlight w:val="yellow"/>
              </w:rPr>
            </w:pPr>
          </w:p>
        </w:tc>
        <w:tc>
          <w:tcPr>
            <w:tcW w:w="1418" w:type="dxa"/>
          </w:tcPr>
          <w:p w:rsidR="00A90A79" w:rsidRPr="00F1148B"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417" w:type="dxa"/>
          </w:tcPr>
          <w:p w:rsidR="00A90A79" w:rsidRPr="00F1148B"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69" w:type="dxa"/>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proofErr w:type="gramStart"/>
            <w:r>
              <w:rPr>
                <w:rFonts w:asciiTheme="minorHAnsi" w:eastAsia="Times New Roman" w:hAnsiTheme="minorHAnsi" w:cstheme="minorHAnsi"/>
                <w:b/>
                <w:bCs/>
                <w:sz w:val="20"/>
                <w:szCs w:val="22"/>
                <w:lang w:eastAsia="pt-BR"/>
              </w:rPr>
              <w:t>Plenária Ordinária</w:t>
            </w:r>
            <w:proofErr w:type="gramEnd"/>
            <w:r>
              <w:rPr>
                <w:rFonts w:asciiTheme="minorHAnsi" w:eastAsia="Times New Roman" w:hAnsiTheme="minorHAnsi" w:cstheme="minorHAnsi"/>
                <w:b/>
                <w:bCs/>
                <w:sz w:val="20"/>
                <w:szCs w:val="22"/>
                <w:lang w:eastAsia="pt-BR"/>
              </w:rPr>
              <w:t xml:space="preserve"> nº 13</w:t>
            </w:r>
            <w:r w:rsidR="00A57067">
              <w:rPr>
                <w:rFonts w:asciiTheme="minorHAnsi" w:eastAsia="Times New Roman" w:hAnsiTheme="minorHAnsi" w:cstheme="minorHAnsi"/>
                <w:b/>
                <w:bCs/>
                <w:sz w:val="20"/>
                <w:szCs w:val="22"/>
                <w:lang w:eastAsia="pt-BR"/>
              </w:rPr>
              <w:t>4</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A57067">
              <w:rPr>
                <w:rFonts w:asciiTheme="minorHAnsi" w:eastAsia="Times New Roman" w:hAnsiTheme="minorHAnsi" w:cstheme="minorHAnsi"/>
                <w:b/>
                <w:bCs/>
                <w:sz w:val="20"/>
                <w:szCs w:val="22"/>
                <w:lang w:eastAsia="pt-BR"/>
              </w:rPr>
              <w:t>29/07</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D66EB1">
              <w:rPr>
                <w:rFonts w:asciiTheme="minorHAnsi" w:eastAsia="Times New Roman" w:hAnsiTheme="minorHAnsi" w:cstheme="minorHAnsi"/>
                <w:b/>
                <w:bCs/>
                <w:sz w:val="20"/>
                <w:szCs w:val="22"/>
                <w:lang w:eastAsia="pt-BR"/>
              </w:rPr>
              <w:t>1493</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D66EB1">
              <w:rPr>
                <w:rFonts w:asciiTheme="minorHAnsi" w:eastAsia="Times New Roman" w:hAnsiTheme="minorHAnsi" w:cstheme="minorHAnsi"/>
                <w:bCs/>
                <w:sz w:val="20"/>
                <w:szCs w:val="22"/>
                <w:lang w:eastAsia="pt-BR"/>
              </w:rPr>
              <w:t>Regras PCP – Parecer Jurídico externo</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823562"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823562">
              <w:rPr>
                <w:rFonts w:asciiTheme="minorHAnsi" w:eastAsia="Times New Roman" w:hAnsiTheme="minorHAnsi" w:cstheme="minorHAnsi"/>
                <w:b/>
                <w:bCs/>
                <w:sz w:val="20"/>
                <w:szCs w:val="22"/>
                <w:lang w:eastAsia="pt-BR"/>
              </w:rPr>
              <w:t xml:space="preserve">Resultado da votação: </w:t>
            </w:r>
            <w:r w:rsidR="009116E7" w:rsidRPr="00823562">
              <w:rPr>
                <w:rFonts w:asciiTheme="minorHAnsi" w:eastAsia="Times New Roman" w:hAnsiTheme="minorHAnsi" w:cstheme="minorHAnsi"/>
                <w:bCs/>
                <w:sz w:val="20"/>
                <w:szCs w:val="22"/>
                <w:lang w:eastAsia="pt-BR"/>
              </w:rPr>
              <w:t>Favoráve</w:t>
            </w:r>
            <w:r w:rsidR="00EE061E" w:rsidRPr="00823562">
              <w:rPr>
                <w:rFonts w:asciiTheme="minorHAnsi" w:eastAsia="Times New Roman" w:hAnsiTheme="minorHAnsi" w:cstheme="minorHAnsi"/>
                <w:bCs/>
                <w:sz w:val="20"/>
                <w:szCs w:val="22"/>
                <w:lang w:eastAsia="pt-BR"/>
              </w:rPr>
              <w:t>is (</w:t>
            </w:r>
            <w:r w:rsidR="00823562">
              <w:rPr>
                <w:rFonts w:asciiTheme="minorHAnsi" w:eastAsia="Times New Roman" w:hAnsiTheme="minorHAnsi" w:cstheme="minorHAnsi"/>
                <w:bCs/>
                <w:sz w:val="20"/>
                <w:szCs w:val="22"/>
                <w:lang w:eastAsia="pt-BR"/>
              </w:rPr>
              <w:t>10</w:t>
            </w:r>
            <w:r w:rsidR="00EE061E" w:rsidRPr="00823562">
              <w:rPr>
                <w:rFonts w:asciiTheme="minorHAnsi" w:eastAsia="Times New Roman" w:hAnsiTheme="minorHAnsi" w:cstheme="minorHAnsi"/>
                <w:bCs/>
                <w:sz w:val="20"/>
                <w:szCs w:val="22"/>
                <w:lang w:eastAsia="pt-BR"/>
              </w:rPr>
              <w:t>) Ausências (</w:t>
            </w:r>
            <w:r w:rsidR="0086262D" w:rsidRPr="00823562">
              <w:rPr>
                <w:rFonts w:asciiTheme="minorHAnsi" w:eastAsia="Times New Roman" w:hAnsiTheme="minorHAnsi" w:cstheme="minorHAnsi"/>
                <w:bCs/>
                <w:sz w:val="20"/>
                <w:szCs w:val="22"/>
                <w:lang w:eastAsia="pt-BR"/>
              </w:rPr>
              <w:t>0</w:t>
            </w:r>
            <w:r w:rsidR="00823562">
              <w:rPr>
                <w:rFonts w:asciiTheme="minorHAnsi" w:eastAsia="Times New Roman" w:hAnsiTheme="minorHAnsi" w:cstheme="minorHAnsi"/>
                <w:bCs/>
                <w:sz w:val="20"/>
                <w:szCs w:val="22"/>
                <w:lang w:eastAsia="pt-BR"/>
              </w:rPr>
              <w:t>7</w:t>
            </w:r>
            <w:r w:rsidR="00EE061E" w:rsidRPr="00823562">
              <w:rPr>
                <w:rFonts w:asciiTheme="minorHAnsi" w:eastAsia="Times New Roman" w:hAnsiTheme="minorHAnsi" w:cstheme="minorHAnsi"/>
                <w:bCs/>
                <w:sz w:val="20"/>
                <w:szCs w:val="22"/>
                <w:lang w:eastAsia="pt-BR"/>
              </w:rPr>
              <w:t xml:space="preserve">) </w:t>
            </w:r>
            <w:r w:rsidR="00823562">
              <w:rPr>
                <w:rFonts w:asciiTheme="minorHAnsi" w:eastAsia="Times New Roman" w:hAnsiTheme="minorHAnsi" w:cstheme="minorHAnsi"/>
                <w:bCs/>
                <w:sz w:val="20"/>
                <w:szCs w:val="22"/>
                <w:lang w:eastAsia="pt-BR"/>
              </w:rPr>
              <w:t>Abstenções</w:t>
            </w:r>
            <w:r w:rsidR="00904C0A" w:rsidRPr="00823562">
              <w:rPr>
                <w:rFonts w:asciiTheme="minorHAnsi" w:eastAsia="Times New Roman" w:hAnsiTheme="minorHAnsi" w:cstheme="minorHAnsi"/>
                <w:bCs/>
                <w:sz w:val="20"/>
                <w:szCs w:val="22"/>
                <w:lang w:eastAsia="pt-BR"/>
              </w:rPr>
              <w:t xml:space="preserve"> (</w:t>
            </w:r>
            <w:r w:rsidR="00823562">
              <w:rPr>
                <w:rFonts w:asciiTheme="minorHAnsi" w:eastAsia="Times New Roman" w:hAnsiTheme="minorHAnsi" w:cstheme="minorHAnsi"/>
                <w:bCs/>
                <w:sz w:val="20"/>
                <w:szCs w:val="22"/>
                <w:lang w:eastAsia="pt-BR"/>
              </w:rPr>
              <w:t>05</w:t>
            </w:r>
            <w:proofErr w:type="gramStart"/>
            <w:r w:rsidR="00904C0A" w:rsidRPr="00823562">
              <w:rPr>
                <w:rFonts w:asciiTheme="minorHAnsi" w:eastAsia="Times New Roman" w:hAnsiTheme="minorHAnsi" w:cstheme="minorHAnsi"/>
                <w:bCs/>
                <w:sz w:val="20"/>
                <w:szCs w:val="22"/>
                <w:lang w:eastAsia="pt-BR"/>
              </w:rPr>
              <w:t xml:space="preserve">) </w:t>
            </w:r>
            <w:r w:rsidR="00823562">
              <w:rPr>
                <w:rFonts w:asciiTheme="minorHAnsi" w:eastAsia="Times New Roman" w:hAnsiTheme="minorHAnsi" w:cstheme="minorHAnsi"/>
                <w:bCs/>
                <w:sz w:val="20"/>
                <w:szCs w:val="22"/>
                <w:lang w:eastAsia="pt-BR"/>
              </w:rPr>
              <w:t>T</w:t>
            </w:r>
            <w:r w:rsidR="00EE061E" w:rsidRPr="00823562">
              <w:rPr>
                <w:rFonts w:asciiTheme="minorHAnsi" w:eastAsia="Times New Roman" w:hAnsiTheme="minorHAnsi" w:cstheme="minorHAnsi"/>
                <w:bCs/>
                <w:sz w:val="20"/>
                <w:szCs w:val="22"/>
                <w:lang w:eastAsia="pt-BR"/>
              </w:rPr>
              <w:t>otal</w:t>
            </w:r>
            <w:proofErr w:type="gramEnd"/>
            <w:r w:rsidR="00EE061E" w:rsidRPr="00823562">
              <w:rPr>
                <w:rFonts w:asciiTheme="minorHAnsi" w:eastAsia="Times New Roman" w:hAnsiTheme="minorHAnsi" w:cstheme="minorHAnsi"/>
                <w:bCs/>
                <w:sz w:val="20"/>
                <w:szCs w:val="22"/>
                <w:lang w:eastAsia="pt-BR"/>
              </w:rPr>
              <w:t> (</w:t>
            </w:r>
            <w:r w:rsidR="0086262D" w:rsidRPr="00823562">
              <w:rPr>
                <w:rFonts w:asciiTheme="minorHAnsi" w:eastAsia="Times New Roman" w:hAnsiTheme="minorHAnsi" w:cstheme="minorHAnsi"/>
                <w:bCs/>
                <w:sz w:val="20"/>
                <w:szCs w:val="22"/>
                <w:lang w:eastAsia="pt-BR"/>
              </w:rPr>
              <w:t>22</w:t>
            </w:r>
            <w:r w:rsidR="009116E7" w:rsidRPr="00823562">
              <w:rPr>
                <w:rFonts w:asciiTheme="minorHAnsi" w:eastAsia="Times New Roman" w:hAnsiTheme="minorHAnsi" w:cstheme="minorHAnsi"/>
                <w:bCs/>
                <w:sz w:val="20"/>
                <w:szCs w:val="22"/>
                <w:lang w:eastAsia="pt-BR"/>
              </w:rPr>
              <w:t>) </w:t>
            </w:r>
          </w:p>
          <w:p w:rsidR="004F4077" w:rsidRPr="00823562"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823562">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6E1A87">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6E1A87">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823562">
          <w:rPr>
            <w:rFonts w:ascii="DaxCondensed" w:hAnsi="DaxCondensed" w:cs="Arial"/>
            <w:noProof/>
            <w:sz w:val="20"/>
            <w:szCs w:val="20"/>
          </w:rPr>
          <w:t>5</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6E1A87"/>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6E1A87">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6E1A87"/>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 w:id="1">
    <w:p w:rsidR="00787FB9" w:rsidRDefault="00787FB9" w:rsidP="00787FB9">
      <w:pPr>
        <w:pStyle w:val="Textodenotaderodap"/>
        <w:jc w:val="both"/>
      </w:pPr>
      <w:r>
        <w:rPr>
          <w:rStyle w:val="Refdenotaderodap"/>
        </w:rPr>
        <w:footnoteRef/>
      </w:r>
      <w:r>
        <w:t xml:space="preserve"> </w:t>
      </w:r>
      <w:r w:rsidRPr="004C55FB">
        <w:rPr>
          <w:sz w:val="16"/>
          <w:szCs w:val="16"/>
        </w:rPr>
        <w:t xml:space="preserve">Carlos Eduardo </w:t>
      </w:r>
      <w:proofErr w:type="spellStart"/>
      <w:r w:rsidRPr="004C55FB">
        <w:rPr>
          <w:sz w:val="16"/>
          <w:szCs w:val="16"/>
        </w:rPr>
        <w:t>Reverbel</w:t>
      </w:r>
      <w:proofErr w:type="spellEnd"/>
      <w:r w:rsidRPr="004C55FB">
        <w:rPr>
          <w:sz w:val="16"/>
          <w:szCs w:val="16"/>
        </w:rPr>
        <w:t xml:space="preserve">  é</w:t>
      </w:r>
      <w:r>
        <w:t xml:space="preserve"> </w:t>
      </w:r>
      <w:r w:rsidRPr="004C55FB">
        <w:rPr>
          <w:rFonts w:ascii="Calibri" w:hAnsi="Calibri" w:cs="Calibri"/>
          <w:sz w:val="16"/>
          <w:szCs w:val="16"/>
          <w:lang w:eastAsia="pt-BR"/>
        </w:rPr>
        <w:t xml:space="preserve">Graduado em Ciências Jurídicas e Sociais pela Pontifícia Universidade Católica do Rio Grande do Sul (PUC/RS - 2003), Mestre em Direito do Estado pela Universidade Federal do Rio Grande do Sul (UFRGS - 2008), Doutor em Direito na Área de Direito do Estado pela Universidade Federal do Rio Grande do Sul (UFRGS - 2012), um segundo Doutorado concluído na Universidade de São Paulo (USP - 2014) também na Área de Direito do Estado, bem como Especialização em fase de conclusão em </w:t>
      </w:r>
      <w:proofErr w:type="spellStart"/>
      <w:r w:rsidRPr="004C55FB">
        <w:rPr>
          <w:rFonts w:ascii="Calibri" w:hAnsi="Calibri" w:cs="Calibri"/>
          <w:sz w:val="16"/>
          <w:szCs w:val="16"/>
          <w:lang w:eastAsia="pt-BR"/>
        </w:rPr>
        <w:t>History</w:t>
      </w:r>
      <w:proofErr w:type="spellEnd"/>
      <w:r w:rsidRPr="004C55FB">
        <w:rPr>
          <w:rFonts w:ascii="Calibri" w:hAnsi="Calibri" w:cs="Calibri"/>
          <w:sz w:val="16"/>
          <w:szCs w:val="16"/>
          <w:lang w:eastAsia="pt-BR"/>
        </w:rPr>
        <w:t xml:space="preserve"> </w:t>
      </w:r>
      <w:proofErr w:type="spellStart"/>
      <w:r w:rsidRPr="004C55FB">
        <w:rPr>
          <w:rFonts w:ascii="Calibri" w:hAnsi="Calibri" w:cs="Calibri"/>
          <w:sz w:val="16"/>
          <w:szCs w:val="16"/>
          <w:lang w:eastAsia="pt-BR"/>
        </w:rPr>
        <w:t>and</w:t>
      </w:r>
      <w:proofErr w:type="spellEnd"/>
      <w:r w:rsidRPr="004C55FB">
        <w:rPr>
          <w:rFonts w:ascii="Calibri" w:hAnsi="Calibri" w:cs="Calibri"/>
          <w:sz w:val="16"/>
          <w:szCs w:val="16"/>
          <w:lang w:eastAsia="pt-BR"/>
        </w:rPr>
        <w:t xml:space="preserve"> Western </w:t>
      </w:r>
      <w:proofErr w:type="spellStart"/>
      <w:r w:rsidRPr="004C55FB">
        <w:rPr>
          <w:rFonts w:ascii="Calibri" w:hAnsi="Calibri" w:cs="Calibri"/>
          <w:sz w:val="16"/>
          <w:szCs w:val="16"/>
          <w:lang w:eastAsia="pt-BR"/>
        </w:rPr>
        <w:t>Culture</w:t>
      </w:r>
      <w:proofErr w:type="spellEnd"/>
      <w:r w:rsidRPr="004C55FB">
        <w:rPr>
          <w:rFonts w:ascii="Calibri" w:hAnsi="Calibri" w:cs="Calibri"/>
          <w:sz w:val="16"/>
          <w:szCs w:val="16"/>
          <w:lang w:eastAsia="pt-BR"/>
        </w:rPr>
        <w:t xml:space="preserve"> na </w:t>
      </w:r>
      <w:proofErr w:type="spellStart"/>
      <w:r w:rsidRPr="004C55FB">
        <w:rPr>
          <w:rFonts w:ascii="Calibri" w:hAnsi="Calibri" w:cs="Calibri"/>
          <w:sz w:val="16"/>
          <w:szCs w:val="16"/>
          <w:lang w:eastAsia="pt-BR"/>
        </w:rPr>
        <w:t>University</w:t>
      </w:r>
      <w:proofErr w:type="spellEnd"/>
      <w:r w:rsidRPr="004C55FB">
        <w:rPr>
          <w:rFonts w:ascii="Calibri" w:hAnsi="Calibri" w:cs="Calibri"/>
          <w:sz w:val="16"/>
          <w:szCs w:val="16"/>
          <w:lang w:eastAsia="pt-BR"/>
        </w:rPr>
        <w:t xml:space="preserve"> </w:t>
      </w:r>
      <w:proofErr w:type="spellStart"/>
      <w:r w:rsidRPr="004C55FB">
        <w:rPr>
          <w:rFonts w:ascii="Calibri" w:hAnsi="Calibri" w:cs="Calibri"/>
          <w:sz w:val="16"/>
          <w:szCs w:val="16"/>
          <w:lang w:eastAsia="pt-BR"/>
        </w:rPr>
        <w:t>of</w:t>
      </w:r>
      <w:proofErr w:type="spellEnd"/>
      <w:r w:rsidRPr="004C55FB">
        <w:rPr>
          <w:rFonts w:ascii="Calibri" w:hAnsi="Calibri" w:cs="Calibri"/>
          <w:sz w:val="16"/>
          <w:szCs w:val="16"/>
          <w:lang w:eastAsia="pt-BR"/>
        </w:rPr>
        <w:t xml:space="preserve"> </w:t>
      </w:r>
      <w:proofErr w:type="spellStart"/>
      <w:r w:rsidRPr="004C55FB">
        <w:rPr>
          <w:rFonts w:ascii="Calibri" w:hAnsi="Calibri" w:cs="Calibri"/>
          <w:sz w:val="16"/>
          <w:szCs w:val="16"/>
          <w:lang w:eastAsia="pt-BR"/>
        </w:rPr>
        <w:t>Notre</w:t>
      </w:r>
      <w:proofErr w:type="spellEnd"/>
      <w:r w:rsidRPr="004C55FB">
        <w:rPr>
          <w:rFonts w:ascii="Calibri" w:hAnsi="Calibri" w:cs="Calibri"/>
          <w:sz w:val="16"/>
          <w:szCs w:val="16"/>
          <w:lang w:eastAsia="pt-BR"/>
        </w:rPr>
        <w:t xml:space="preserve"> </w:t>
      </w:r>
      <w:proofErr w:type="spellStart"/>
      <w:r w:rsidRPr="004C55FB">
        <w:rPr>
          <w:rFonts w:ascii="Calibri" w:hAnsi="Calibri" w:cs="Calibri"/>
          <w:sz w:val="16"/>
          <w:szCs w:val="16"/>
          <w:lang w:eastAsia="pt-BR"/>
        </w:rPr>
        <w:t>Dame</w:t>
      </w:r>
      <w:proofErr w:type="spellEnd"/>
      <w:r w:rsidRPr="004C55FB">
        <w:rPr>
          <w:rFonts w:ascii="Calibri" w:hAnsi="Calibri" w:cs="Calibri"/>
          <w:sz w:val="16"/>
          <w:szCs w:val="16"/>
          <w:lang w:eastAsia="pt-BR"/>
        </w:rPr>
        <w:t>. Foi Professor Substituto de Política e Teoria do Estado, aprovado por concurso público, na Universidade Federal do Rio Grande do Sul - UFRGS de março/2009 a janeiro/2010. Professor adjunto por concurso público na Universidade Federal do Rio Grande do Sul (posse em: 03/2013). Docente Permanente do Programa de Pós-Graduação em Direito da UFRGS. Professor das seguintes especializações: (1) Especialização em Direito do Trabalho da UFRGS (2) Especialização em Direito do Estado da UFRGS (3) Especialização em Direito Tributário da UFRGS (4) Especialização em Direito do Consumidor da UFRGS (5) Especialização em Direito Internacional da UFRGS (6) Especialização em Direito Ambiental da UFRGS (7) Especialização em Advocacia de Estado e Direito Público da UFRGS. Coordenador das especializações em Direito do Estado da UFRGS e Advocacia de Estado e Direito Público da UFRGS. Coordenador da Comissão de Extensão da Faculdade de Direito da UFRGS (COMEX - 2013/2017). Coordenador de Projeto de Extensão contemplado pelo Edital PROEXT - 2015 MEC/</w:t>
      </w:r>
      <w:proofErr w:type="spellStart"/>
      <w:r w:rsidRPr="004C55FB">
        <w:rPr>
          <w:rFonts w:ascii="Calibri" w:hAnsi="Calibri" w:cs="Calibri"/>
          <w:sz w:val="16"/>
          <w:szCs w:val="16"/>
          <w:lang w:eastAsia="pt-BR"/>
        </w:rPr>
        <w:t>SESu</w:t>
      </w:r>
      <w:proofErr w:type="spellEnd"/>
      <w:r w:rsidRPr="004C55FB">
        <w:rPr>
          <w:rFonts w:ascii="Calibri" w:hAnsi="Calibri" w:cs="Calibri"/>
          <w:sz w:val="16"/>
          <w:szCs w:val="16"/>
          <w:lang w:eastAsia="pt-BR"/>
        </w:rPr>
        <w:t>, sob o título "Tutela dos Direitos do Indivíduo Privado de Liberdade sob as perspectivas do Direito Comparado e da Política</w:t>
      </w:r>
      <w:proofErr w:type="gramStart"/>
      <w:r w:rsidRPr="004C55FB">
        <w:rPr>
          <w:rFonts w:ascii="Calibri" w:hAnsi="Calibri" w:cs="Calibri"/>
          <w:sz w:val="16"/>
          <w:szCs w:val="16"/>
          <w:lang w:eastAsia="pt-BR"/>
        </w:rPr>
        <w:t>" .</w:t>
      </w:r>
      <w:proofErr w:type="gramEnd"/>
      <w:r w:rsidRPr="004C55FB">
        <w:rPr>
          <w:rFonts w:ascii="Calibri" w:hAnsi="Calibri" w:cs="Calibri"/>
          <w:sz w:val="16"/>
          <w:szCs w:val="16"/>
          <w:lang w:eastAsia="pt-BR"/>
        </w:rPr>
        <w:t xml:space="preserve"> Coordenador dos seguintes Projetos de Pesquisa: (1) Clássicos do Direito do Estado - UFRGS (2014/2015); (2) A Revolução Federalista e o Ideário Parlamentarista (2014/2016); (3) Jurisdição Constitucional e o Estado de Direito (2016)</w:t>
      </w:r>
      <w:r>
        <w:rPr>
          <w:rFonts w:ascii="Calibri" w:hAnsi="Calibri" w:cs="Calibri"/>
          <w:sz w:val="16"/>
          <w:szCs w:val="16"/>
          <w:lang w:eastAsia="pt-B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2058A0"/>
    <w:multiLevelType w:val="hybridMultilevel"/>
    <w:tmpl w:val="9E965F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15:restartNumberingAfterBreak="0">
    <w:nsid w:val="482B4DDA"/>
    <w:multiLevelType w:val="hybridMultilevel"/>
    <w:tmpl w:val="B64E7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F564CAF"/>
    <w:multiLevelType w:val="hybridMultilevel"/>
    <w:tmpl w:val="BEA8AA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5"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2"/>
  </w:num>
  <w:num w:numId="3">
    <w:abstractNumId w:val="11"/>
  </w:num>
  <w:num w:numId="4">
    <w:abstractNumId w:val="2"/>
  </w:num>
  <w:num w:numId="5">
    <w:abstractNumId w:val="1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3"/>
  </w:num>
  <w:num w:numId="13">
    <w:abstractNumId w:val="13"/>
  </w:num>
  <w:num w:numId="14">
    <w:abstractNumId w:val="17"/>
  </w:num>
  <w:num w:numId="15">
    <w:abstractNumId w:val="9"/>
  </w:num>
  <w:num w:numId="16">
    <w:abstractNumId w:val="0"/>
  </w:num>
  <w:num w:numId="17">
    <w:abstractNumId w:val="19"/>
  </w:num>
  <w:num w:numId="18">
    <w:abstractNumId w:val="14"/>
  </w:num>
  <w:num w:numId="19">
    <w:abstractNumId w:val="10"/>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4021B"/>
    <w:rsid w:val="000B621A"/>
    <w:rsid w:val="00127DCE"/>
    <w:rsid w:val="0013101F"/>
    <w:rsid w:val="00155C1C"/>
    <w:rsid w:val="00163138"/>
    <w:rsid w:val="00165499"/>
    <w:rsid w:val="001A2002"/>
    <w:rsid w:val="001A324A"/>
    <w:rsid w:val="001E2D03"/>
    <w:rsid w:val="0020210B"/>
    <w:rsid w:val="00225E96"/>
    <w:rsid w:val="002317CB"/>
    <w:rsid w:val="00274BF8"/>
    <w:rsid w:val="00286789"/>
    <w:rsid w:val="00292FD6"/>
    <w:rsid w:val="00305CBC"/>
    <w:rsid w:val="003262D1"/>
    <w:rsid w:val="00332947"/>
    <w:rsid w:val="003347BC"/>
    <w:rsid w:val="003523FC"/>
    <w:rsid w:val="00392B9A"/>
    <w:rsid w:val="00393245"/>
    <w:rsid w:val="003A6EE1"/>
    <w:rsid w:val="003B530C"/>
    <w:rsid w:val="003D3CC3"/>
    <w:rsid w:val="004102BE"/>
    <w:rsid w:val="004129B1"/>
    <w:rsid w:val="004136E1"/>
    <w:rsid w:val="00421D3E"/>
    <w:rsid w:val="004250EB"/>
    <w:rsid w:val="00425119"/>
    <w:rsid w:val="004418A7"/>
    <w:rsid w:val="004921EE"/>
    <w:rsid w:val="004A7853"/>
    <w:rsid w:val="004B0F35"/>
    <w:rsid w:val="004F4077"/>
    <w:rsid w:val="00507DD9"/>
    <w:rsid w:val="00590282"/>
    <w:rsid w:val="00591B04"/>
    <w:rsid w:val="00594DD0"/>
    <w:rsid w:val="005C18E0"/>
    <w:rsid w:val="005C3926"/>
    <w:rsid w:val="0061151A"/>
    <w:rsid w:val="006264DF"/>
    <w:rsid w:val="00665E9D"/>
    <w:rsid w:val="0066618A"/>
    <w:rsid w:val="00693E01"/>
    <w:rsid w:val="006A6EAA"/>
    <w:rsid w:val="006E1A87"/>
    <w:rsid w:val="006F5074"/>
    <w:rsid w:val="006F72F5"/>
    <w:rsid w:val="007174A2"/>
    <w:rsid w:val="00735525"/>
    <w:rsid w:val="00741A3F"/>
    <w:rsid w:val="0074549A"/>
    <w:rsid w:val="00766FE1"/>
    <w:rsid w:val="00787FB9"/>
    <w:rsid w:val="007A1836"/>
    <w:rsid w:val="007E5451"/>
    <w:rsid w:val="008037A5"/>
    <w:rsid w:val="00823562"/>
    <w:rsid w:val="00844FAA"/>
    <w:rsid w:val="0086262D"/>
    <w:rsid w:val="00863CC9"/>
    <w:rsid w:val="00867F97"/>
    <w:rsid w:val="00871AD5"/>
    <w:rsid w:val="008A2D78"/>
    <w:rsid w:val="008B0FC5"/>
    <w:rsid w:val="008D4EAD"/>
    <w:rsid w:val="008D6781"/>
    <w:rsid w:val="00904C0A"/>
    <w:rsid w:val="009116E7"/>
    <w:rsid w:val="00936FB1"/>
    <w:rsid w:val="009F48A5"/>
    <w:rsid w:val="009F7A5C"/>
    <w:rsid w:val="00A25E4E"/>
    <w:rsid w:val="00A5451E"/>
    <w:rsid w:val="00A57067"/>
    <w:rsid w:val="00A71A38"/>
    <w:rsid w:val="00A90A79"/>
    <w:rsid w:val="00AB1E34"/>
    <w:rsid w:val="00AB2898"/>
    <w:rsid w:val="00AB3628"/>
    <w:rsid w:val="00AC106A"/>
    <w:rsid w:val="00B80B09"/>
    <w:rsid w:val="00BC12AE"/>
    <w:rsid w:val="00BD0E8E"/>
    <w:rsid w:val="00C072C7"/>
    <w:rsid w:val="00CC4BED"/>
    <w:rsid w:val="00CD4B3C"/>
    <w:rsid w:val="00CF273B"/>
    <w:rsid w:val="00D66EB1"/>
    <w:rsid w:val="00E5615B"/>
    <w:rsid w:val="00E65E3D"/>
    <w:rsid w:val="00E66813"/>
    <w:rsid w:val="00EB3BDE"/>
    <w:rsid w:val="00EC4204"/>
    <w:rsid w:val="00ED7FDA"/>
    <w:rsid w:val="00EE0389"/>
    <w:rsid w:val="00EE061E"/>
    <w:rsid w:val="00F02455"/>
    <w:rsid w:val="00F1148B"/>
    <w:rsid w:val="00F44056"/>
    <w:rsid w:val="00F5106F"/>
    <w:rsid w:val="00F70A8E"/>
    <w:rsid w:val="00F95ADD"/>
    <w:rsid w:val="00FB5D9F"/>
    <w:rsid w:val="00FC05FF"/>
    <w:rsid w:val="00FC2C1B"/>
    <w:rsid w:val="00FC556E"/>
    <w:rsid w:val="00FF54B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character" w:customStyle="1" w:styleId="normaltextrun">
    <w:name w:val="normaltextrun"/>
    <w:basedOn w:val="Fontepargpadro"/>
    <w:rsid w:val="008D6781"/>
  </w:style>
  <w:style w:type="paragraph" w:customStyle="1" w:styleId="paragraph">
    <w:name w:val="paragraph"/>
    <w:basedOn w:val="Normal"/>
    <w:rsid w:val="008D6781"/>
    <w:pPr>
      <w:spacing w:before="100" w:beforeAutospacing="1" w:after="100" w:afterAutospacing="1"/>
    </w:pPr>
    <w:rPr>
      <w:rFonts w:ascii="Times New Roman" w:eastAsia="Times New Roman" w:hAnsi="Times New Roman"/>
      <w:lang w:eastAsia="pt-BR"/>
    </w:rPr>
  </w:style>
  <w:style w:type="character" w:styleId="Hyperlink">
    <w:name w:val="Hyperlink"/>
    <w:basedOn w:val="Fontepargpadro"/>
    <w:uiPriority w:val="99"/>
    <w:unhideWhenUsed/>
    <w:rsid w:val="00591B04"/>
    <w:rPr>
      <w:color w:val="0000FF" w:themeColor="hyperlink"/>
      <w:u w:val="single"/>
    </w:rPr>
  </w:style>
  <w:style w:type="character" w:styleId="Refdenotaderodap">
    <w:name w:val="footnote reference"/>
    <w:basedOn w:val="Fontepargpadro"/>
    <w:unhideWhenUsed/>
    <w:rsid w:val="00787F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65880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92A72-5E76-4D01-8A9F-FABACE27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2630</TotalTime>
  <Pages>4</Pages>
  <Words>1079</Words>
  <Characters>5827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9</cp:revision>
  <cp:lastPrinted>2021-11-22T12:22:00Z</cp:lastPrinted>
  <dcterms:created xsi:type="dcterms:W3CDTF">2022-07-28T21:41:00Z</dcterms:created>
  <dcterms:modified xsi:type="dcterms:W3CDTF">2022-08-04T20:52:00Z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