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4102BE" w:rsidP="003248D6">
            <w:pPr>
              <w:rPr>
                <w:rFonts w:asciiTheme="minorHAnsi" w:hAnsiTheme="minorHAnsi" w:cstheme="minorHAnsi"/>
              </w:rPr>
            </w:pPr>
            <w:r>
              <w:rPr>
                <w:rFonts w:asciiTheme="minorHAnsi" w:hAnsiTheme="minorHAnsi" w:cstheme="minorHAnsi"/>
              </w:rPr>
              <w:t xml:space="preserve">Protocolo SICCAU nº </w:t>
            </w:r>
            <w:r w:rsidR="003248D6">
              <w:rPr>
                <w:rFonts w:asciiTheme="minorHAnsi" w:hAnsiTheme="minorHAnsi" w:cstheme="minorHAnsi"/>
              </w:rPr>
              <w:t>1578515</w:t>
            </w:r>
            <w:r w:rsidR="00867F97">
              <w:rPr>
                <w:rFonts w:asciiTheme="minorHAnsi" w:hAnsiTheme="minorHAnsi" w:cstheme="minorHAnsi"/>
              </w:rPr>
              <w:t>/202</w:t>
            </w:r>
            <w:r w:rsidR="00590282">
              <w:rPr>
                <w:rFonts w:asciiTheme="minorHAnsi" w:hAnsiTheme="minorHAnsi" w:cstheme="minorHAnsi"/>
              </w:rPr>
              <w:t>2</w:t>
            </w:r>
          </w:p>
        </w:tc>
      </w:tr>
      <w:tr w:rsidR="003248D6"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3248D6" w:rsidRPr="000245F1" w:rsidRDefault="003248D6" w:rsidP="003248D6">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3248D6" w:rsidRPr="000245F1" w:rsidRDefault="003248D6" w:rsidP="003248D6">
            <w:pPr>
              <w:widowControl w:val="0"/>
              <w:rPr>
                <w:rFonts w:asciiTheme="minorHAnsi" w:hAnsiTheme="minorHAnsi" w:cstheme="minorHAnsi"/>
                <w:bCs/>
                <w:lang w:eastAsia="pt-BR"/>
              </w:rPr>
            </w:pPr>
            <w:r>
              <w:rPr>
                <w:rFonts w:asciiTheme="minorHAnsi" w:hAnsiTheme="minorHAnsi" w:cstheme="minorHAnsi"/>
                <w:bCs/>
                <w:lang w:eastAsia="pt-BR"/>
              </w:rPr>
              <w:t xml:space="preserve">Gerência Administrativa e Financeira </w:t>
            </w:r>
            <w:r w:rsidRPr="000245F1">
              <w:rPr>
                <w:rFonts w:asciiTheme="minorHAnsi" w:hAnsiTheme="minorHAnsi" w:cstheme="minorHAnsi"/>
                <w:bCs/>
                <w:lang w:eastAsia="pt-BR"/>
              </w:rPr>
              <w:t>-</w:t>
            </w:r>
            <w:r>
              <w:rPr>
                <w:rFonts w:asciiTheme="minorHAnsi" w:hAnsiTheme="minorHAnsi" w:cstheme="minorHAnsi"/>
                <w:bCs/>
                <w:lang w:eastAsia="pt-BR"/>
              </w:rPr>
              <w:t xml:space="preserve"> </w:t>
            </w:r>
            <w:r w:rsidRPr="000245F1">
              <w:rPr>
                <w:rFonts w:asciiTheme="minorHAnsi" w:hAnsiTheme="minorHAnsi" w:cstheme="minorHAnsi"/>
                <w:bCs/>
                <w:lang w:eastAsia="pt-BR"/>
              </w:rPr>
              <w:t>CAU/RS</w:t>
            </w:r>
          </w:p>
        </w:tc>
      </w:tr>
      <w:tr w:rsidR="003248D6"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3248D6" w:rsidRPr="000245F1" w:rsidRDefault="003248D6" w:rsidP="003248D6">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3248D6" w:rsidRPr="000245F1" w:rsidRDefault="003248D6" w:rsidP="003248D6">
            <w:pPr>
              <w:widowControl w:val="0"/>
              <w:jc w:val="both"/>
              <w:rPr>
                <w:rFonts w:asciiTheme="minorHAnsi" w:hAnsiTheme="minorHAnsi" w:cstheme="minorHAnsi"/>
                <w:bCs/>
                <w:lang w:eastAsia="pt-BR"/>
              </w:rPr>
            </w:pPr>
            <w:r>
              <w:rPr>
                <w:rFonts w:asciiTheme="minorHAnsi" w:hAnsiTheme="minorHAnsi" w:cstheme="minorHAnsi"/>
                <w:bCs/>
                <w:lang w:eastAsia="pt-BR"/>
              </w:rPr>
              <w:t>Balancete Mensal – Maio/2022</w:t>
            </w:r>
          </w:p>
        </w:tc>
      </w:tr>
    </w:tbl>
    <w:p w:rsidR="00CC4BED" w:rsidRPr="000245F1" w:rsidRDefault="00CC4BED" w:rsidP="00C072C7">
      <w:pPr>
        <w:pBdr>
          <w:top w:val="single" w:sz="8" w:space="0"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70A8E">
        <w:rPr>
          <w:rFonts w:asciiTheme="minorHAnsi" w:hAnsiTheme="minorHAnsi" w:cstheme="minorHAnsi"/>
          <w:lang w:eastAsia="pt-BR"/>
        </w:rPr>
        <w:t>14</w:t>
      </w:r>
      <w:r w:rsidR="003248D6">
        <w:rPr>
          <w:rFonts w:asciiTheme="minorHAnsi" w:hAnsiTheme="minorHAnsi" w:cstheme="minorHAnsi"/>
          <w:lang w:eastAsia="pt-BR"/>
        </w:rPr>
        <w:t>90</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AB1E34" w:rsidRPr="00AB1E34" w:rsidRDefault="00AB1E34" w:rsidP="00AB1E34">
      <w:pPr>
        <w:ind w:left="6237"/>
        <w:jc w:val="both"/>
        <w:rPr>
          <w:rFonts w:asciiTheme="minorHAnsi" w:hAnsiTheme="minorHAnsi" w:cstheme="minorHAnsi"/>
          <w:sz w:val="20"/>
          <w:szCs w:val="22"/>
          <w:lang w:eastAsia="pt-BR"/>
        </w:rPr>
      </w:pPr>
      <w:r>
        <w:rPr>
          <w:rFonts w:asciiTheme="minorHAnsi" w:hAnsiTheme="minorHAnsi" w:cstheme="minorHAnsi"/>
          <w:sz w:val="20"/>
          <w:szCs w:val="22"/>
          <w:lang w:eastAsia="pt-BR"/>
        </w:rPr>
        <w:t xml:space="preserve">Homologar </w:t>
      </w:r>
      <w:r w:rsidR="003248D6">
        <w:rPr>
          <w:rFonts w:asciiTheme="minorHAnsi" w:hAnsiTheme="minorHAnsi" w:cstheme="minorHAnsi"/>
          <w:sz w:val="20"/>
          <w:szCs w:val="22"/>
          <w:lang w:eastAsia="pt-BR"/>
        </w:rPr>
        <w:t>o balancete mensal, referente ao</w:t>
      </w:r>
      <w:r w:rsidR="003248D6" w:rsidRPr="003248D6">
        <w:rPr>
          <w:rFonts w:asciiTheme="minorHAnsi" w:hAnsiTheme="minorHAnsi" w:cstheme="minorHAnsi"/>
          <w:sz w:val="20"/>
          <w:szCs w:val="22"/>
          <w:lang w:eastAsia="pt-BR"/>
        </w:rPr>
        <w:t xml:space="preserve"> </w:t>
      </w:r>
      <w:r w:rsidR="003248D6">
        <w:rPr>
          <w:rFonts w:asciiTheme="minorHAnsi" w:hAnsiTheme="minorHAnsi" w:cstheme="minorHAnsi"/>
          <w:sz w:val="20"/>
          <w:szCs w:val="22"/>
          <w:lang w:eastAsia="pt-BR"/>
        </w:rPr>
        <w:t>mês</w:t>
      </w:r>
      <w:r w:rsidR="003248D6" w:rsidRPr="003248D6">
        <w:rPr>
          <w:rFonts w:asciiTheme="minorHAnsi" w:hAnsiTheme="minorHAnsi" w:cstheme="minorHAnsi"/>
          <w:sz w:val="20"/>
          <w:szCs w:val="22"/>
          <w:lang w:eastAsia="pt-BR"/>
        </w:rPr>
        <w:t xml:space="preserve"> de </w:t>
      </w:r>
      <w:r w:rsidR="003248D6">
        <w:rPr>
          <w:rFonts w:asciiTheme="minorHAnsi" w:hAnsiTheme="minorHAnsi" w:cstheme="minorHAnsi"/>
          <w:sz w:val="20"/>
          <w:szCs w:val="22"/>
          <w:lang w:eastAsia="pt-BR"/>
        </w:rPr>
        <w:t xml:space="preserve">maio </w:t>
      </w:r>
      <w:r w:rsidR="003248D6" w:rsidRPr="003248D6">
        <w:rPr>
          <w:rFonts w:asciiTheme="minorHAnsi" w:hAnsiTheme="minorHAnsi" w:cstheme="minorHAnsi"/>
          <w:sz w:val="20"/>
          <w:szCs w:val="22"/>
          <w:lang w:eastAsia="pt-BR"/>
        </w:rPr>
        <w:t>de 2022</w:t>
      </w:r>
      <w:r w:rsidRPr="00AB1E34">
        <w:rPr>
          <w:rFonts w:asciiTheme="minorHAnsi" w:hAnsiTheme="minorHAnsi" w:cstheme="minorHAnsi"/>
          <w:sz w:val="20"/>
          <w:szCs w:val="22"/>
          <w:lang w:eastAsia="pt-BR"/>
        </w:rPr>
        <w:t>.</w:t>
      </w:r>
    </w:p>
    <w:p w:rsidR="00A25E4E" w:rsidRPr="00A25E4E" w:rsidRDefault="00A25E4E" w:rsidP="00A25E4E">
      <w:pPr>
        <w:tabs>
          <w:tab w:val="left" w:pos="1418"/>
        </w:tabs>
        <w:ind w:left="6372"/>
        <w:jc w:val="both"/>
        <w:rPr>
          <w:rFonts w:asciiTheme="minorHAnsi" w:hAnsiTheme="minorHAnsi" w:cstheme="minorHAnsi"/>
          <w:sz w:val="20"/>
          <w:szCs w:val="20"/>
        </w:rPr>
      </w:pPr>
    </w:p>
    <w:p w:rsidR="00ED7FDA" w:rsidRDefault="00ED7FDA" w:rsidP="00A57067">
      <w:pPr>
        <w:tabs>
          <w:tab w:val="left" w:pos="3544"/>
        </w:tabs>
        <w:jc w:val="both"/>
        <w:rPr>
          <w:rFonts w:asciiTheme="minorHAnsi" w:hAnsiTheme="minorHAnsi" w:cstheme="minorHAnsi"/>
          <w:lang w:eastAsia="pt-BR"/>
        </w:rPr>
      </w:pPr>
      <w:r w:rsidRPr="008D6781">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274BF8" w:rsidRPr="008D6781">
        <w:rPr>
          <w:rFonts w:asciiTheme="minorHAnsi" w:hAnsiTheme="minorHAnsi" w:cstheme="minorHAnsi"/>
          <w:lang w:eastAsia="pt-BR"/>
        </w:rPr>
        <w:t>29</w:t>
      </w:r>
      <w:r w:rsidR="006F72F5" w:rsidRPr="008D6781">
        <w:rPr>
          <w:rFonts w:asciiTheme="minorHAnsi" w:hAnsiTheme="minorHAnsi" w:cstheme="minorHAnsi"/>
          <w:lang w:eastAsia="pt-BR"/>
        </w:rPr>
        <w:t xml:space="preserve"> de ju</w:t>
      </w:r>
      <w:r w:rsidR="00274BF8" w:rsidRPr="008D6781">
        <w:rPr>
          <w:rFonts w:asciiTheme="minorHAnsi" w:hAnsiTheme="minorHAnsi" w:cstheme="minorHAnsi"/>
          <w:lang w:eastAsia="pt-BR"/>
        </w:rPr>
        <w:t>l</w:t>
      </w:r>
      <w:r w:rsidR="006F72F5" w:rsidRPr="008D6781">
        <w:rPr>
          <w:rFonts w:asciiTheme="minorHAnsi" w:hAnsiTheme="minorHAnsi" w:cstheme="minorHAnsi"/>
          <w:lang w:eastAsia="pt-BR"/>
        </w:rPr>
        <w:t>ho</w:t>
      </w:r>
      <w:r w:rsidR="001A2002" w:rsidRPr="008D6781">
        <w:rPr>
          <w:rFonts w:asciiTheme="minorHAnsi" w:hAnsiTheme="minorHAnsi" w:cstheme="minorHAnsi"/>
          <w:lang w:eastAsia="pt-BR"/>
        </w:rPr>
        <w:t xml:space="preserve"> </w:t>
      </w:r>
      <w:r w:rsidRPr="008D6781">
        <w:rPr>
          <w:rFonts w:asciiTheme="minorHAnsi" w:hAnsiTheme="minorHAnsi" w:cstheme="minorHAnsi"/>
          <w:lang w:eastAsia="pt-BR"/>
        </w:rPr>
        <w:t>de 202</w:t>
      </w:r>
      <w:r w:rsidR="0020210B" w:rsidRPr="008D6781">
        <w:rPr>
          <w:rFonts w:asciiTheme="minorHAnsi" w:hAnsiTheme="minorHAnsi" w:cstheme="minorHAnsi"/>
          <w:lang w:eastAsia="pt-BR"/>
        </w:rPr>
        <w:t>2</w:t>
      </w:r>
      <w:r w:rsidRPr="008D6781">
        <w:rPr>
          <w:rFonts w:asciiTheme="minorHAnsi" w:hAnsiTheme="minorHAnsi" w:cstheme="minorHAnsi"/>
          <w:lang w:eastAsia="pt-BR"/>
        </w:rPr>
        <w:t>, após análise do assunto em epígrafe, e</w:t>
      </w:r>
    </w:p>
    <w:p w:rsidR="00127DCE" w:rsidRDefault="00127DCE" w:rsidP="00A57067">
      <w:pPr>
        <w:tabs>
          <w:tab w:val="left" w:pos="3544"/>
        </w:tabs>
        <w:jc w:val="both"/>
        <w:rPr>
          <w:rFonts w:asciiTheme="minorHAnsi" w:hAnsiTheme="minorHAnsi" w:cstheme="minorHAnsi"/>
          <w:lang w:eastAsia="pt-BR"/>
        </w:rPr>
      </w:pPr>
    </w:p>
    <w:p w:rsidR="003248D6" w:rsidRPr="00373FEC" w:rsidRDefault="003248D6" w:rsidP="003248D6">
      <w:pPr>
        <w:ind w:right="275"/>
        <w:jc w:val="both"/>
        <w:rPr>
          <w:rFonts w:asciiTheme="minorHAnsi" w:hAnsiTheme="minorHAnsi" w:cstheme="minorHAnsi"/>
          <w:lang w:eastAsia="pt-BR"/>
        </w:rPr>
      </w:pPr>
      <w:r w:rsidRPr="00373FEC">
        <w:rPr>
          <w:rFonts w:asciiTheme="minorHAnsi" w:hAnsiTheme="minorHAnsi" w:cstheme="minorHAnsi"/>
          <w:lang w:eastAsia="pt-BR"/>
        </w:rPr>
        <w:t>Considerando que compete ao CAU/RS, dentre outras, deliberar sobre as matérias administrativas e financeiras de interesse do CAU/RS, conforme inciso XI do art. 3º do seu Regimento Interno;</w:t>
      </w:r>
    </w:p>
    <w:p w:rsidR="003248D6" w:rsidRPr="00373FEC" w:rsidRDefault="003248D6" w:rsidP="003248D6">
      <w:pPr>
        <w:ind w:right="275"/>
        <w:jc w:val="both"/>
        <w:rPr>
          <w:rFonts w:asciiTheme="minorHAnsi" w:hAnsiTheme="minorHAnsi" w:cstheme="minorHAnsi"/>
          <w:lang w:eastAsia="pt-BR"/>
        </w:rPr>
      </w:pPr>
    </w:p>
    <w:p w:rsidR="003248D6" w:rsidRPr="00373FEC" w:rsidRDefault="003248D6" w:rsidP="003248D6">
      <w:pPr>
        <w:ind w:right="275"/>
        <w:jc w:val="both"/>
        <w:rPr>
          <w:rFonts w:asciiTheme="minorHAnsi" w:hAnsiTheme="minorHAnsi" w:cstheme="minorHAnsi"/>
          <w:lang w:eastAsia="pt-BR"/>
        </w:rPr>
      </w:pPr>
      <w:r w:rsidRPr="00373FEC">
        <w:rPr>
          <w:rFonts w:asciiTheme="minorHAnsi" w:hAnsiTheme="minorHAnsi" w:cstheme="minorHAnsi"/>
          <w:lang w:eastAsia="pt-BR"/>
        </w:rPr>
        <w:t>Considerando que o inciso IX, art. 29, do Regimento Interno do CAU/RS, prevê, entre as competências do Plenário do CAU/RS, apreciar e deliberar sobre matérias encaminhadas pela Presidência, pelo Conselho Diretor, por comissões ordinárias e por comissões especiais;</w:t>
      </w:r>
    </w:p>
    <w:p w:rsidR="003248D6" w:rsidRPr="00373FEC" w:rsidRDefault="003248D6" w:rsidP="003248D6">
      <w:pPr>
        <w:ind w:right="275"/>
        <w:jc w:val="both"/>
        <w:rPr>
          <w:rFonts w:asciiTheme="minorHAnsi" w:hAnsiTheme="minorHAnsi" w:cstheme="minorHAnsi"/>
          <w:lang w:eastAsia="pt-BR"/>
        </w:rPr>
      </w:pPr>
    </w:p>
    <w:p w:rsidR="003248D6" w:rsidRPr="00373FEC" w:rsidRDefault="003248D6" w:rsidP="003248D6">
      <w:pPr>
        <w:ind w:right="275"/>
        <w:jc w:val="both"/>
        <w:rPr>
          <w:rFonts w:asciiTheme="minorHAnsi" w:hAnsiTheme="minorHAnsi" w:cstheme="minorHAnsi"/>
          <w:lang w:eastAsia="pt-BR"/>
        </w:rPr>
      </w:pPr>
      <w:r w:rsidRPr="00373FEC">
        <w:rPr>
          <w:rFonts w:asciiTheme="minorHAnsi" w:hAnsiTheme="minorHAnsi" w:cstheme="minorHAnsi"/>
          <w:lang w:eastAsia="pt-BR"/>
        </w:rPr>
        <w:t>Considerando que o inciso XXVI, art. 29, do Regimento Interno do CAU/RS, prevê, entre as competências do Plenário do CAU/RS, apreciar e deliberar sobre os planos de ação e orçamento do CAU/RS, observando o Planejamento Estratégico do CAU e o disposto no art. 34 da Lei n° 12.378, de 31 de dezembro de 2010 e as diretrizes estabelecidas;</w:t>
      </w:r>
    </w:p>
    <w:p w:rsidR="003248D6" w:rsidRPr="00373FEC" w:rsidRDefault="003248D6" w:rsidP="003248D6">
      <w:pPr>
        <w:ind w:right="275"/>
        <w:jc w:val="both"/>
        <w:rPr>
          <w:rFonts w:asciiTheme="minorHAnsi" w:hAnsiTheme="minorHAnsi" w:cstheme="minorHAnsi"/>
          <w:lang w:eastAsia="pt-BR"/>
        </w:rPr>
      </w:pPr>
    </w:p>
    <w:p w:rsidR="003248D6" w:rsidRPr="00373FEC" w:rsidRDefault="003248D6" w:rsidP="003248D6">
      <w:pPr>
        <w:ind w:right="275"/>
        <w:jc w:val="both"/>
        <w:rPr>
          <w:rFonts w:asciiTheme="minorHAnsi" w:hAnsiTheme="minorHAnsi" w:cstheme="minorHAnsi"/>
          <w:lang w:eastAsia="pt-BR"/>
        </w:rPr>
      </w:pPr>
      <w:r w:rsidRPr="00373FEC">
        <w:rPr>
          <w:rFonts w:asciiTheme="minorHAnsi" w:hAnsiTheme="minorHAnsi" w:cstheme="minorHAnsi"/>
          <w:lang w:eastAsia="pt-BR"/>
        </w:rPr>
        <w:t>Considerando que o inciso XXIX, art. 29, do Regimento Interno do CAU/RS, prevê, entre as competências do Plenário do CAU/RS, apreciar e deliberar sobre relatórios de gestão da estratégia, metas e resultados alcançados frente aos planos de ação e orçamento do CAU/RS e ao Planejamento Estratégico do CAU;</w:t>
      </w:r>
    </w:p>
    <w:p w:rsidR="003248D6" w:rsidRPr="00373FEC" w:rsidRDefault="003248D6" w:rsidP="003248D6">
      <w:pPr>
        <w:ind w:right="275"/>
        <w:jc w:val="both"/>
        <w:rPr>
          <w:rFonts w:asciiTheme="minorHAnsi" w:hAnsiTheme="minorHAnsi" w:cstheme="minorHAnsi"/>
          <w:lang w:eastAsia="pt-BR"/>
        </w:rPr>
      </w:pPr>
    </w:p>
    <w:p w:rsidR="003248D6" w:rsidRPr="00373FEC" w:rsidRDefault="003248D6" w:rsidP="003248D6">
      <w:pPr>
        <w:ind w:right="275"/>
        <w:jc w:val="both"/>
        <w:rPr>
          <w:rFonts w:asciiTheme="minorHAnsi" w:hAnsiTheme="minorHAnsi" w:cstheme="minorHAnsi"/>
          <w:lang w:eastAsia="pt-BR"/>
        </w:rPr>
      </w:pPr>
      <w:r w:rsidRPr="00373FEC">
        <w:rPr>
          <w:rFonts w:asciiTheme="minorHAnsi" w:hAnsiTheme="minorHAnsi" w:cstheme="minorHAnsi"/>
          <w:lang w:eastAsia="pt-BR"/>
        </w:rPr>
        <w:t>Considerando a</w:t>
      </w:r>
      <w:r>
        <w:rPr>
          <w:rFonts w:asciiTheme="minorHAnsi" w:hAnsiTheme="minorHAnsi" w:cstheme="minorHAnsi"/>
          <w:lang w:eastAsia="pt-BR"/>
        </w:rPr>
        <w:t>s Deliberações</w:t>
      </w:r>
      <w:r w:rsidRPr="00373FEC">
        <w:rPr>
          <w:rFonts w:asciiTheme="minorHAnsi" w:hAnsiTheme="minorHAnsi" w:cstheme="minorHAnsi"/>
          <w:lang w:eastAsia="pt-BR"/>
        </w:rPr>
        <w:t xml:space="preserve"> nº </w:t>
      </w:r>
      <w:r w:rsidR="001E73E2">
        <w:rPr>
          <w:rFonts w:asciiTheme="minorHAnsi" w:hAnsiTheme="minorHAnsi" w:cstheme="minorHAnsi"/>
          <w:lang w:eastAsia="pt-BR"/>
        </w:rPr>
        <w:t>036</w:t>
      </w:r>
      <w:r w:rsidRPr="00373FEC">
        <w:rPr>
          <w:rFonts w:asciiTheme="minorHAnsi" w:hAnsiTheme="minorHAnsi" w:cstheme="minorHAnsi"/>
          <w:lang w:eastAsia="pt-BR"/>
        </w:rPr>
        <w:t>/2022</w:t>
      </w:r>
      <w:r>
        <w:rPr>
          <w:rFonts w:asciiTheme="minorHAnsi" w:hAnsiTheme="minorHAnsi" w:cstheme="minorHAnsi"/>
          <w:lang w:eastAsia="pt-BR"/>
        </w:rPr>
        <w:t xml:space="preserve"> </w:t>
      </w:r>
      <w:r w:rsidR="001E73E2">
        <w:rPr>
          <w:rFonts w:asciiTheme="minorHAnsi" w:hAnsiTheme="minorHAnsi" w:cstheme="minorHAnsi"/>
          <w:lang w:eastAsia="pt-BR"/>
        </w:rPr>
        <w:t xml:space="preserve">exarada pela </w:t>
      </w:r>
      <w:r>
        <w:rPr>
          <w:rFonts w:asciiTheme="minorHAnsi" w:hAnsiTheme="minorHAnsi" w:cstheme="minorHAnsi"/>
          <w:lang w:eastAsia="pt-BR"/>
        </w:rPr>
        <w:t>Comissão de Planejamento e Finanças do CAU/RS</w:t>
      </w:r>
      <w:r w:rsidRPr="00373FEC">
        <w:rPr>
          <w:rFonts w:asciiTheme="minorHAnsi" w:hAnsiTheme="minorHAnsi" w:cstheme="minorHAnsi"/>
          <w:lang w:eastAsia="pt-BR"/>
        </w:rPr>
        <w:t xml:space="preserve">, </w:t>
      </w:r>
      <w:r w:rsidR="001E73E2">
        <w:rPr>
          <w:rFonts w:asciiTheme="minorHAnsi" w:hAnsiTheme="minorHAnsi" w:cstheme="minorHAnsi"/>
          <w:lang w:eastAsia="pt-BR"/>
        </w:rPr>
        <w:t>que aprovou o balancete</w:t>
      </w:r>
      <w:r w:rsidRPr="00373FEC">
        <w:rPr>
          <w:rFonts w:asciiTheme="minorHAnsi" w:hAnsiTheme="minorHAnsi" w:cstheme="minorHAnsi"/>
          <w:lang w:eastAsia="pt-BR"/>
        </w:rPr>
        <w:t xml:space="preserve"> mensa</w:t>
      </w:r>
      <w:r w:rsidR="001E73E2">
        <w:rPr>
          <w:rFonts w:asciiTheme="minorHAnsi" w:hAnsiTheme="minorHAnsi" w:cstheme="minorHAnsi"/>
          <w:lang w:eastAsia="pt-BR"/>
        </w:rPr>
        <w:t>l referente</w:t>
      </w:r>
      <w:r w:rsidRPr="00373FEC">
        <w:rPr>
          <w:rFonts w:asciiTheme="minorHAnsi" w:hAnsiTheme="minorHAnsi" w:cstheme="minorHAnsi"/>
          <w:lang w:eastAsia="pt-BR"/>
        </w:rPr>
        <w:t xml:space="preserve"> </w:t>
      </w:r>
      <w:r w:rsidR="001E73E2">
        <w:rPr>
          <w:rFonts w:asciiTheme="minorHAnsi" w:hAnsiTheme="minorHAnsi" w:cstheme="minorHAnsi"/>
          <w:lang w:eastAsia="pt-BR"/>
        </w:rPr>
        <w:t>a</w:t>
      </w:r>
      <w:r w:rsidRPr="00373FEC">
        <w:rPr>
          <w:rFonts w:asciiTheme="minorHAnsi" w:hAnsiTheme="minorHAnsi" w:cstheme="minorHAnsi"/>
          <w:lang w:eastAsia="pt-BR"/>
        </w:rPr>
        <w:t xml:space="preserve"> </w:t>
      </w:r>
      <w:r w:rsidR="001E73E2">
        <w:rPr>
          <w:rFonts w:asciiTheme="minorHAnsi" w:hAnsiTheme="minorHAnsi" w:cstheme="minorHAnsi"/>
          <w:lang w:eastAsia="pt-BR"/>
        </w:rPr>
        <w:t xml:space="preserve">maio </w:t>
      </w:r>
      <w:r w:rsidRPr="00373FEC">
        <w:rPr>
          <w:rFonts w:asciiTheme="minorHAnsi" w:hAnsiTheme="minorHAnsi" w:cstheme="minorHAnsi"/>
          <w:lang w:eastAsia="pt-BR"/>
        </w:rPr>
        <w:t>de 20</w:t>
      </w:r>
      <w:r>
        <w:rPr>
          <w:rFonts w:asciiTheme="minorHAnsi" w:hAnsiTheme="minorHAnsi" w:cstheme="minorHAnsi"/>
          <w:lang w:eastAsia="pt-BR"/>
        </w:rPr>
        <w:t>2</w:t>
      </w:r>
      <w:r w:rsidRPr="00373FEC">
        <w:rPr>
          <w:rFonts w:asciiTheme="minorHAnsi" w:hAnsiTheme="minorHAnsi" w:cstheme="minorHAnsi"/>
          <w:lang w:eastAsia="pt-BR"/>
        </w:rPr>
        <w:t>2</w:t>
      </w:r>
      <w:r>
        <w:rPr>
          <w:rFonts w:asciiTheme="minorHAnsi" w:hAnsiTheme="minorHAnsi" w:cstheme="minorHAnsi"/>
          <w:lang w:eastAsia="pt-BR"/>
        </w:rPr>
        <w:t>, respectivamente</w:t>
      </w:r>
      <w:r w:rsidRPr="00373FEC">
        <w:rPr>
          <w:rFonts w:asciiTheme="minorHAnsi" w:hAnsiTheme="minorHAnsi" w:cstheme="minorHAnsi"/>
          <w:lang w:eastAsia="pt-BR"/>
        </w:rPr>
        <w:t>.</w:t>
      </w:r>
    </w:p>
    <w:p w:rsidR="00591B04" w:rsidRDefault="00591B04" w:rsidP="00591B04">
      <w:pPr>
        <w:suppressAutoHyphens/>
        <w:autoSpaceDN w:val="0"/>
        <w:ind w:right="-285"/>
        <w:jc w:val="both"/>
        <w:textAlignment w:val="baseline"/>
        <w:rPr>
          <w:rFonts w:ascii="Calibri" w:hAnsi="Calibri" w:cs="Calibri"/>
        </w:rPr>
      </w:pPr>
    </w:p>
    <w:p w:rsidR="00AC106A" w:rsidRDefault="004F4077" w:rsidP="00591B04">
      <w:pPr>
        <w:suppressAutoHyphens/>
        <w:autoSpaceDN w:val="0"/>
        <w:ind w:right="-285"/>
        <w:jc w:val="both"/>
        <w:textAlignment w:val="baseline"/>
        <w:rPr>
          <w:rFonts w:asciiTheme="minorHAnsi" w:hAnsiTheme="minorHAnsi" w:cstheme="minorHAnsi"/>
          <w:b/>
          <w:lang w:eastAsia="pt-BR"/>
        </w:rPr>
      </w:pPr>
      <w:r w:rsidRPr="008D6781">
        <w:rPr>
          <w:rFonts w:asciiTheme="minorHAnsi" w:hAnsiTheme="minorHAnsi" w:cstheme="minorHAnsi"/>
          <w:b/>
          <w:lang w:eastAsia="pt-BR"/>
        </w:rPr>
        <w:t>DELIBEROU</w:t>
      </w:r>
      <w:r w:rsidR="00766FE1" w:rsidRPr="008D6781">
        <w:rPr>
          <w:rFonts w:asciiTheme="minorHAnsi" w:hAnsiTheme="minorHAnsi" w:cstheme="minorHAnsi"/>
          <w:b/>
          <w:lang w:eastAsia="pt-BR"/>
        </w:rPr>
        <w:t xml:space="preserve"> por</w:t>
      </w:r>
      <w:r w:rsidRPr="008D6781">
        <w:rPr>
          <w:rFonts w:asciiTheme="minorHAnsi" w:hAnsiTheme="minorHAnsi" w:cstheme="minorHAnsi"/>
          <w:b/>
          <w:lang w:eastAsia="pt-BR"/>
        </w:rPr>
        <w:t>:</w:t>
      </w:r>
    </w:p>
    <w:p w:rsidR="001E73E2" w:rsidRPr="00373FEC" w:rsidRDefault="001E73E2" w:rsidP="001E73E2">
      <w:pPr>
        <w:pStyle w:val="PargrafodaLista"/>
        <w:numPr>
          <w:ilvl w:val="0"/>
          <w:numId w:val="4"/>
        </w:numPr>
        <w:contextualSpacing w:val="0"/>
        <w:jc w:val="both"/>
        <w:rPr>
          <w:rFonts w:asciiTheme="minorHAnsi" w:hAnsiTheme="minorHAnsi" w:cstheme="minorHAnsi"/>
        </w:rPr>
      </w:pPr>
      <w:r w:rsidRPr="00373FEC">
        <w:rPr>
          <w:rFonts w:asciiTheme="minorHAnsi" w:hAnsiTheme="minorHAnsi" w:cstheme="minorHAnsi"/>
        </w:rPr>
        <w:t xml:space="preserve">Homologar </w:t>
      </w:r>
      <w:r>
        <w:rPr>
          <w:rFonts w:asciiTheme="minorHAnsi" w:hAnsiTheme="minorHAnsi" w:cstheme="minorHAnsi"/>
        </w:rPr>
        <w:t>o balancete mensal do CAU/RS referente</w:t>
      </w:r>
      <w:r w:rsidRPr="00373FEC">
        <w:rPr>
          <w:rFonts w:asciiTheme="minorHAnsi" w:hAnsiTheme="minorHAnsi" w:cstheme="minorHAnsi"/>
        </w:rPr>
        <w:t xml:space="preserve"> a </w:t>
      </w:r>
      <w:r>
        <w:rPr>
          <w:rFonts w:asciiTheme="minorHAnsi" w:hAnsiTheme="minorHAnsi" w:cstheme="minorHAnsi"/>
          <w:lang w:eastAsia="pt-BR"/>
        </w:rPr>
        <w:t xml:space="preserve">maio </w:t>
      </w:r>
      <w:r>
        <w:rPr>
          <w:rFonts w:asciiTheme="minorHAnsi" w:hAnsiTheme="minorHAnsi" w:cstheme="minorHAnsi"/>
        </w:rPr>
        <w:t>de 2022</w:t>
      </w:r>
      <w:r w:rsidRPr="00373FEC">
        <w:rPr>
          <w:rFonts w:asciiTheme="minorHAnsi" w:hAnsiTheme="minorHAnsi" w:cstheme="minorHAnsi"/>
        </w:rPr>
        <w:t>, conforme rela</w:t>
      </w:r>
      <w:r>
        <w:rPr>
          <w:rFonts w:asciiTheme="minorHAnsi" w:hAnsiTheme="minorHAnsi" w:cstheme="minorHAnsi"/>
        </w:rPr>
        <w:t>tório</w:t>
      </w:r>
      <w:r w:rsidRPr="00373FEC">
        <w:rPr>
          <w:rFonts w:asciiTheme="minorHAnsi" w:hAnsiTheme="minorHAnsi" w:cstheme="minorHAnsi"/>
        </w:rPr>
        <w:t xml:space="preserve"> </w:t>
      </w:r>
      <w:r>
        <w:rPr>
          <w:rFonts w:asciiTheme="minorHAnsi" w:hAnsiTheme="minorHAnsi" w:cstheme="minorHAnsi"/>
        </w:rPr>
        <w:t>em anexo</w:t>
      </w:r>
      <w:r w:rsidRPr="00373FEC">
        <w:rPr>
          <w:rFonts w:asciiTheme="minorHAnsi" w:hAnsiTheme="minorHAnsi" w:cstheme="minorHAnsi"/>
        </w:rPr>
        <w:t>;</w:t>
      </w:r>
    </w:p>
    <w:p w:rsidR="001E73E2" w:rsidRPr="00373FEC" w:rsidRDefault="001E73E2" w:rsidP="001E73E2">
      <w:pPr>
        <w:pStyle w:val="PargrafodaLista"/>
        <w:numPr>
          <w:ilvl w:val="0"/>
          <w:numId w:val="4"/>
        </w:numPr>
        <w:contextualSpacing w:val="0"/>
        <w:jc w:val="both"/>
        <w:rPr>
          <w:rFonts w:asciiTheme="minorHAnsi" w:hAnsiTheme="minorHAnsi" w:cstheme="minorHAnsi"/>
        </w:rPr>
      </w:pPr>
      <w:r w:rsidRPr="00373FEC">
        <w:rPr>
          <w:rFonts w:asciiTheme="minorHAnsi" w:hAnsiTheme="minorHAnsi" w:cstheme="minorHAnsi"/>
        </w:rPr>
        <w:t xml:space="preserve">Encaminhar a presente deliberação à Gerência Administrativa Financeira para providências necessárias. </w:t>
      </w:r>
    </w:p>
    <w:p w:rsidR="001E73E2" w:rsidRPr="00AC106A" w:rsidRDefault="001E73E2" w:rsidP="001E73E2">
      <w:pPr>
        <w:pStyle w:val="PargrafodaLista"/>
        <w:contextualSpacing w:val="0"/>
        <w:jc w:val="both"/>
        <w:rPr>
          <w:rFonts w:asciiTheme="minorHAnsi" w:hAnsiTheme="minorHAnsi" w:cstheme="minorHAnsi"/>
          <w:szCs w:val="22"/>
        </w:rPr>
      </w:pPr>
    </w:p>
    <w:p w:rsidR="00507DD9" w:rsidRPr="008D6781" w:rsidRDefault="004F4077">
      <w:pPr>
        <w:pStyle w:val="PargrafodaLista"/>
        <w:ind w:left="0"/>
        <w:jc w:val="both"/>
        <w:rPr>
          <w:rFonts w:asciiTheme="minorHAnsi" w:hAnsiTheme="minorHAnsi" w:cstheme="minorHAnsi"/>
          <w:u w:val="single"/>
          <w:lang w:eastAsia="pt-BR"/>
        </w:rPr>
      </w:pPr>
      <w:r w:rsidRPr="008D6781">
        <w:rPr>
          <w:rFonts w:asciiTheme="minorHAnsi" w:hAnsiTheme="minorHAnsi" w:cstheme="minorHAnsi"/>
          <w:u w:val="single"/>
          <w:lang w:eastAsia="pt-BR"/>
        </w:rPr>
        <w:t xml:space="preserve">Esta deliberação entra em vigor na data de sua publicação. </w:t>
      </w:r>
    </w:p>
    <w:p w:rsidR="009F48A5" w:rsidRPr="008D6781" w:rsidRDefault="009F48A5" w:rsidP="008037A5">
      <w:pPr>
        <w:pStyle w:val="PargrafodaLista"/>
        <w:tabs>
          <w:tab w:val="left" w:pos="3969"/>
        </w:tabs>
        <w:ind w:left="0"/>
        <w:jc w:val="center"/>
        <w:rPr>
          <w:rFonts w:asciiTheme="minorHAnsi" w:hAnsiTheme="minorHAnsi" w:cstheme="minorHAnsi"/>
          <w:u w:val="single"/>
          <w:lang w:eastAsia="pt-BR"/>
        </w:rPr>
      </w:pPr>
    </w:p>
    <w:p w:rsidR="008F0EC0" w:rsidRPr="00734A5A" w:rsidRDefault="008F0EC0" w:rsidP="008F0EC0">
      <w:pPr>
        <w:jc w:val="both"/>
        <w:rPr>
          <w:rFonts w:asciiTheme="minorHAnsi" w:hAnsiTheme="minorHAnsi" w:cstheme="minorHAnsi"/>
        </w:rPr>
      </w:pPr>
      <w:r w:rsidRPr="008F1E06">
        <w:rPr>
          <w:rFonts w:asciiTheme="minorHAnsi" w:hAnsiTheme="minorHAnsi" w:cstheme="minorHAnsi"/>
          <w:color w:val="000000"/>
        </w:rPr>
        <w:t xml:space="preserve">Com </w:t>
      </w:r>
      <w:r>
        <w:rPr>
          <w:rFonts w:asciiTheme="minorHAnsi" w:hAnsiTheme="minorHAnsi" w:cstheme="minorHAnsi"/>
          <w:color w:val="000000"/>
        </w:rPr>
        <w:t>19</w:t>
      </w:r>
      <w:r w:rsidRPr="008F1E06">
        <w:rPr>
          <w:rFonts w:asciiTheme="minorHAnsi" w:hAnsiTheme="minorHAnsi" w:cstheme="minorHAnsi"/>
          <w:color w:val="000000"/>
        </w:rPr>
        <w:t xml:space="preserve"> (</w:t>
      </w:r>
      <w:r>
        <w:rPr>
          <w:rFonts w:asciiTheme="minorHAnsi" w:hAnsiTheme="minorHAnsi" w:cstheme="minorHAnsi"/>
          <w:color w:val="000000"/>
        </w:rPr>
        <w:t>dezenove</w:t>
      </w:r>
      <w:r w:rsidRPr="008F1E06">
        <w:rPr>
          <w:rFonts w:asciiTheme="minorHAnsi" w:hAnsiTheme="minorHAnsi" w:cstheme="minorHAnsi"/>
          <w:color w:val="000000"/>
        </w:rPr>
        <w:t xml:space="preserve">) votos favoráveis, das conselheiras Andréa Larruscahim Hamilton Ilha, Deise Flores, Denise dos Santos Simões, Evelise Jaime de Menezes, Gislaine Vargas Saibro, Ingrid Louise de Souza Dahm, Lidia Glacir Gomes Rodrigues, Marcia Elizabeth Martins, Orildes Tres e Silvia </w:t>
      </w:r>
      <w:r w:rsidRPr="008F1E06">
        <w:rPr>
          <w:rFonts w:asciiTheme="minorHAnsi" w:hAnsiTheme="minorHAnsi" w:cstheme="minorHAnsi"/>
          <w:color w:val="000000"/>
        </w:rPr>
        <w:lastRenderedPageBreak/>
        <w:t xml:space="preserve">Monteiro Barakat </w:t>
      </w:r>
      <w:r w:rsidRPr="008F1E06">
        <w:rPr>
          <w:rFonts w:asciiTheme="minorHAnsi" w:hAnsiTheme="minorHAnsi" w:cstheme="minorHAnsi"/>
        </w:rPr>
        <w:t xml:space="preserve">e dos conselheiros Alexandre Giorgi, </w:t>
      </w:r>
      <w:r w:rsidRPr="008F1E06">
        <w:rPr>
          <w:rFonts w:asciiTheme="minorHAnsi" w:hAnsiTheme="minorHAnsi" w:cstheme="minorHAnsi"/>
          <w:color w:val="000000"/>
        </w:rPr>
        <w:t>Carlos Eduardo Iponema Costa</w:t>
      </w:r>
      <w:r>
        <w:rPr>
          <w:rFonts w:asciiTheme="minorHAnsi" w:hAnsiTheme="minorHAnsi" w:cstheme="minorHAnsi"/>
          <w:color w:val="000000"/>
        </w:rPr>
        <w:t>,</w:t>
      </w:r>
      <w:r w:rsidRPr="008F1E06">
        <w:rPr>
          <w:rFonts w:asciiTheme="minorHAnsi" w:hAnsiTheme="minorHAnsi" w:cstheme="minorHAnsi"/>
        </w:rPr>
        <w:t xml:space="preserve"> Carlos Eduardo Mesquita Pedone, Emilio Merino, Fábio Müller, Fausto Henrique Steffen, Rafael Ártico, Rinaldo Ferreira Barbosa e Rodrigo Spinelli; e </w:t>
      </w:r>
      <w:r>
        <w:rPr>
          <w:rFonts w:asciiTheme="minorHAnsi" w:hAnsiTheme="minorHAnsi" w:cstheme="minorHAnsi"/>
        </w:rPr>
        <w:t>03</w:t>
      </w:r>
      <w:r w:rsidRPr="008F1E06">
        <w:rPr>
          <w:rFonts w:asciiTheme="minorHAnsi" w:hAnsiTheme="minorHAnsi" w:cstheme="minorHAnsi"/>
        </w:rPr>
        <w:t xml:space="preserve"> (</w:t>
      </w:r>
      <w:r>
        <w:rPr>
          <w:rFonts w:asciiTheme="minorHAnsi" w:hAnsiTheme="minorHAnsi" w:cstheme="minorHAnsi"/>
        </w:rPr>
        <w:t>três</w:t>
      </w:r>
      <w:r w:rsidRPr="008F1E06">
        <w:rPr>
          <w:rFonts w:asciiTheme="minorHAnsi" w:hAnsiTheme="minorHAnsi" w:cstheme="minorHAnsi"/>
        </w:rPr>
        <w:t>) ausências, das conselheiras Aline Pedroso da Croce, Débora Francele Rodri</w:t>
      </w:r>
      <w:r>
        <w:rPr>
          <w:rFonts w:asciiTheme="minorHAnsi" w:hAnsiTheme="minorHAnsi" w:cstheme="minorHAnsi"/>
        </w:rPr>
        <w:t>gues da Silva e Magali Mingotti</w:t>
      </w:r>
      <w:r w:rsidRPr="008F1E06">
        <w:rPr>
          <w:rFonts w:asciiTheme="minorHAnsi" w:hAnsiTheme="minorHAnsi" w:cstheme="minorHAnsi"/>
          <w:color w:val="000000"/>
        </w:rPr>
        <w:t>.</w:t>
      </w:r>
    </w:p>
    <w:p w:rsidR="00507DD9" w:rsidRPr="008D6781" w:rsidRDefault="00507DD9">
      <w:pPr>
        <w:pStyle w:val="PargrafodaLista"/>
        <w:ind w:left="0" w:right="133"/>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r w:rsidRPr="008D6781">
        <w:rPr>
          <w:rFonts w:asciiTheme="minorHAnsi" w:hAnsiTheme="minorHAnsi" w:cstheme="minorHAnsi"/>
        </w:rPr>
        <w:t xml:space="preserve">Porto Alegre – RS, </w:t>
      </w:r>
      <w:r w:rsidR="00867F97">
        <w:rPr>
          <w:rFonts w:asciiTheme="minorHAnsi" w:hAnsiTheme="minorHAnsi" w:cstheme="minorHAnsi"/>
        </w:rPr>
        <w:t xml:space="preserve">29 de julho </w:t>
      </w:r>
      <w:r w:rsidRPr="008D6781">
        <w:rPr>
          <w:rFonts w:asciiTheme="minorHAnsi" w:hAnsiTheme="minorHAnsi" w:cstheme="minorHAnsi"/>
        </w:rPr>
        <w:t>de 2022.</w:t>
      </w:r>
    </w:p>
    <w:p w:rsidR="00871AD5" w:rsidRDefault="00871AD5" w:rsidP="00871AD5">
      <w:pPr>
        <w:jc w:val="center"/>
        <w:rPr>
          <w:rFonts w:asciiTheme="minorHAnsi" w:hAnsiTheme="minorHAnsi" w:cstheme="minorHAnsi"/>
        </w:rPr>
      </w:pPr>
    </w:p>
    <w:p w:rsidR="003347BC" w:rsidRDefault="003347BC" w:rsidP="00871AD5">
      <w:pPr>
        <w:jc w:val="center"/>
        <w:rPr>
          <w:rFonts w:asciiTheme="minorHAnsi" w:hAnsiTheme="minorHAnsi" w:cstheme="minorHAnsi"/>
        </w:rPr>
      </w:pPr>
    </w:p>
    <w:p w:rsidR="003347BC" w:rsidRPr="008D6781" w:rsidRDefault="003347BC"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b/>
        </w:rPr>
      </w:pPr>
      <w:r w:rsidRPr="008D6781">
        <w:rPr>
          <w:rFonts w:asciiTheme="minorHAnsi" w:hAnsiTheme="minorHAnsi" w:cstheme="minorHAnsi"/>
        </w:rPr>
        <w:tab/>
      </w:r>
      <w:r w:rsidRPr="008D6781">
        <w:rPr>
          <w:rFonts w:asciiTheme="minorHAnsi" w:hAnsiTheme="minorHAnsi" w:cstheme="minorHAnsi"/>
          <w:b/>
        </w:rPr>
        <w:t xml:space="preserve">TIAGO HOLZMANN DA SILVA </w:t>
      </w:r>
      <w:r w:rsidRPr="008D6781">
        <w:rPr>
          <w:rFonts w:asciiTheme="minorHAnsi" w:hAnsiTheme="minorHAnsi" w:cstheme="minorHAnsi"/>
          <w:b/>
        </w:rPr>
        <w:tab/>
      </w:r>
    </w:p>
    <w:p w:rsidR="00507DD9" w:rsidRPr="008D6781" w:rsidRDefault="00871AD5" w:rsidP="00871AD5">
      <w:pPr>
        <w:jc w:val="center"/>
        <w:rPr>
          <w:rFonts w:asciiTheme="minorHAnsi" w:hAnsiTheme="minorHAnsi" w:cstheme="minorHAnsi"/>
        </w:rPr>
        <w:sectPr w:rsidR="00507DD9" w:rsidRPr="008D6781"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D6781">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8D6781">
        <w:rPr>
          <w:rFonts w:asciiTheme="minorHAnsi" w:hAnsiTheme="minorHAnsi" w:cstheme="minorHAnsi"/>
          <w:b/>
          <w:bCs/>
          <w:sz w:val="22"/>
          <w:szCs w:val="22"/>
          <w:lang w:eastAsia="pt-BR"/>
        </w:rPr>
        <w:t>4</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A90A79" w:rsidRPr="009116E7"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A90A79" w:rsidRDefault="00A90A79" w:rsidP="001E73E2">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A57067">
              <w:rPr>
                <w:rFonts w:asciiTheme="minorHAnsi" w:eastAsia="Times New Roman" w:hAnsiTheme="minorHAnsi" w:cstheme="minorHAnsi"/>
                <w:sz w:val="22"/>
                <w:szCs w:val="22"/>
                <w:lang w:eastAsia="pt-BR"/>
              </w:rPr>
              <w:t>14</w:t>
            </w:r>
            <w:r w:rsidR="001E73E2">
              <w:rPr>
                <w:rFonts w:asciiTheme="minorHAnsi" w:eastAsia="Times New Roman" w:hAnsiTheme="minorHAnsi" w:cstheme="minorHAnsi"/>
                <w:sz w:val="22"/>
                <w:szCs w:val="22"/>
                <w:lang w:eastAsia="pt-BR"/>
              </w:rPr>
              <w:t>90</w:t>
            </w:r>
            <w:r w:rsidRPr="009116E7">
              <w:rPr>
                <w:rFonts w:asciiTheme="minorHAnsi" w:eastAsia="Times New Roman" w:hAnsiTheme="minorHAnsi" w:cstheme="minorHAnsi"/>
                <w:sz w:val="22"/>
                <w:szCs w:val="22"/>
                <w:lang w:eastAsia="pt-BR"/>
              </w:rPr>
              <w:t xml:space="preserve">/2022 - Protocolo nº </w:t>
            </w:r>
            <w:r w:rsidR="007E5451">
              <w:rPr>
                <w:rFonts w:asciiTheme="minorHAnsi" w:eastAsia="Times New Roman" w:hAnsiTheme="minorHAnsi" w:cstheme="minorHAnsi"/>
                <w:sz w:val="22"/>
                <w:szCs w:val="22"/>
                <w:lang w:eastAsia="pt-BR"/>
              </w:rPr>
              <w:t>157</w:t>
            </w:r>
            <w:r w:rsidR="001E73E2">
              <w:rPr>
                <w:rFonts w:asciiTheme="minorHAnsi" w:eastAsia="Times New Roman" w:hAnsiTheme="minorHAnsi" w:cstheme="minorHAnsi"/>
                <w:sz w:val="22"/>
                <w:szCs w:val="22"/>
                <w:lang w:eastAsia="pt-BR"/>
              </w:rPr>
              <w:t>8515</w:t>
            </w:r>
            <w:r>
              <w:rPr>
                <w:rFonts w:asciiTheme="minorHAnsi" w:hAnsiTheme="minorHAnsi" w:cstheme="minorHAnsi"/>
                <w:sz w:val="22"/>
                <w:szCs w:val="22"/>
                <w:lang w:eastAsia="pt-BR"/>
              </w:rPr>
              <w:t>/20</w:t>
            </w:r>
            <w:r w:rsidR="008D6781">
              <w:rPr>
                <w:rFonts w:asciiTheme="minorHAnsi" w:hAnsiTheme="minorHAnsi" w:cstheme="minorHAnsi"/>
                <w:sz w:val="22"/>
                <w:szCs w:val="22"/>
                <w:lang w:eastAsia="pt-BR"/>
              </w:rPr>
              <w:t>2</w:t>
            </w:r>
            <w:r w:rsidR="00590282">
              <w:rPr>
                <w:rFonts w:asciiTheme="minorHAnsi" w:hAnsiTheme="minorHAnsi" w:cstheme="minorHAnsi"/>
                <w:sz w:val="22"/>
                <w:szCs w:val="22"/>
                <w:lang w:eastAsia="pt-BR"/>
              </w:rPr>
              <w:t>2</w:t>
            </w:r>
          </w:p>
        </w:tc>
      </w:tr>
      <w:tr w:rsidR="00A90A79" w:rsidRPr="009116E7" w:rsidTr="00A5706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A90A79" w:rsidRPr="009116E7" w:rsidRDefault="00A90A79" w:rsidP="008F0EC0">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A90A79" w:rsidRPr="009116E7" w:rsidRDefault="00A90A79" w:rsidP="00A90A79">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A90A79" w:rsidRPr="009116E7" w:rsidRDefault="00A90A79" w:rsidP="008F0EC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A90A79" w:rsidRPr="009116E7" w:rsidRDefault="00A90A79" w:rsidP="008F0EC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A90A79" w:rsidRPr="009116E7" w:rsidRDefault="00A90A79" w:rsidP="008F0EC0">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8F0EC0" w:rsidRPr="009116E7" w:rsidTr="008F0E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eastAsia="Times New Roman" w:hAnsi="Calibri" w:cs="Calibri"/>
                <w:b w:val="0"/>
                <w:sz w:val="22"/>
                <w:szCs w:val="22"/>
              </w:rPr>
            </w:pPr>
            <w:r w:rsidRPr="005C141C">
              <w:rPr>
                <w:rFonts w:ascii="Calibri" w:hAnsi="Calibri" w:cs="Calibri"/>
                <w:b w:val="0"/>
                <w:sz w:val="22"/>
                <w:szCs w:val="22"/>
              </w:rPr>
              <w:t>Alexandre Giorgi </w:t>
            </w:r>
          </w:p>
        </w:tc>
        <w:tc>
          <w:tcPr>
            <w:tcW w:w="1417" w:type="dxa"/>
            <w:vAlign w:val="center"/>
          </w:tcPr>
          <w:p w:rsidR="008F0EC0" w:rsidRDefault="00427233"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Pr>
                <w:rFonts w:ascii="Calibri" w:hAnsi="Calibri" w:cs="Calibri"/>
                <w:sz w:val="22"/>
                <w:szCs w:val="22"/>
              </w:rPr>
              <w:t>X</w:t>
            </w:r>
          </w:p>
        </w:tc>
        <w:tc>
          <w:tcPr>
            <w:tcW w:w="1418"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8F0EC0" w:rsidRPr="00A90A79" w:rsidRDefault="008F0EC0" w:rsidP="008F0EC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8F0EC0" w:rsidRPr="009116E7" w:rsidTr="008F0E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Aline Pedroso da Croce </w:t>
            </w:r>
          </w:p>
        </w:tc>
        <w:tc>
          <w:tcPr>
            <w:tcW w:w="1417" w:type="dxa"/>
            <w:vAlign w:val="center"/>
          </w:tcPr>
          <w:p w:rsidR="008F0EC0"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8F0EC0" w:rsidRPr="00A90A79" w:rsidRDefault="00427233"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eastAsia="Times New Roman" w:hAnsi="Calibri" w:cstheme="minorHAnsi"/>
                <w:sz w:val="22"/>
                <w:szCs w:val="22"/>
              </w:rPr>
              <w:t>X</w:t>
            </w:r>
          </w:p>
        </w:tc>
      </w:tr>
      <w:tr w:rsidR="008F0EC0" w:rsidRPr="009116E7" w:rsidTr="008F0E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Andréa Larruscahim Hamilton Ilha</w:t>
            </w:r>
          </w:p>
        </w:tc>
        <w:tc>
          <w:tcPr>
            <w:tcW w:w="1417" w:type="dxa"/>
            <w:vAlign w:val="center"/>
          </w:tcPr>
          <w:p w:rsidR="008F0EC0"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p>
        </w:tc>
        <w:tc>
          <w:tcPr>
            <w:tcW w:w="1418"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F0EC0" w:rsidRPr="009116E7" w:rsidTr="008F0E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Carlos Eduardo Iponema Costa </w:t>
            </w:r>
          </w:p>
        </w:tc>
        <w:tc>
          <w:tcPr>
            <w:tcW w:w="1417" w:type="dxa"/>
            <w:vAlign w:val="center"/>
          </w:tcPr>
          <w:p w:rsidR="008F0EC0"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F0EC0" w:rsidRPr="009116E7" w:rsidTr="008F0E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Carlos Eduardo Mesquita Pedone</w:t>
            </w:r>
          </w:p>
        </w:tc>
        <w:tc>
          <w:tcPr>
            <w:tcW w:w="1417" w:type="dxa"/>
            <w:vAlign w:val="center"/>
          </w:tcPr>
          <w:p w:rsidR="008F0EC0" w:rsidRDefault="00427233"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sidRPr="001F183C">
              <w:rPr>
                <w:rFonts w:ascii="Calibri" w:hAnsi="Calibri" w:cs="Calibri"/>
                <w:sz w:val="22"/>
                <w:szCs w:val="22"/>
              </w:rPr>
              <w:t>X</w:t>
            </w:r>
          </w:p>
        </w:tc>
        <w:tc>
          <w:tcPr>
            <w:tcW w:w="1418"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F0EC0" w:rsidRPr="009116E7" w:rsidTr="008F0E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Débora Francele Rodrigues da Silva</w:t>
            </w:r>
          </w:p>
        </w:tc>
        <w:tc>
          <w:tcPr>
            <w:tcW w:w="1417" w:type="dxa"/>
          </w:tcPr>
          <w:p w:rsidR="008F0EC0" w:rsidRDefault="008F0EC0" w:rsidP="008F0EC0">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8F0EC0" w:rsidRPr="00A90A79" w:rsidRDefault="00427233"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8F0EC0" w:rsidRPr="009116E7" w:rsidTr="008F0E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Deise Flores</w:t>
            </w:r>
          </w:p>
        </w:tc>
        <w:tc>
          <w:tcPr>
            <w:tcW w:w="1417" w:type="dxa"/>
          </w:tcPr>
          <w:p w:rsidR="008F0EC0" w:rsidRDefault="008F0EC0" w:rsidP="008F0EC0">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F0EC0" w:rsidRPr="009116E7" w:rsidTr="008F0E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Denise dos Santos Simões </w:t>
            </w:r>
          </w:p>
        </w:tc>
        <w:tc>
          <w:tcPr>
            <w:tcW w:w="1417" w:type="dxa"/>
          </w:tcPr>
          <w:p w:rsidR="008F0EC0" w:rsidRDefault="008F0EC0" w:rsidP="008F0EC0">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F0EC0" w:rsidRPr="009116E7" w:rsidTr="008F0E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Emílio Merino</w:t>
            </w:r>
          </w:p>
        </w:tc>
        <w:tc>
          <w:tcPr>
            <w:tcW w:w="1417" w:type="dxa"/>
          </w:tcPr>
          <w:p w:rsidR="008F0EC0" w:rsidRDefault="008F0EC0" w:rsidP="008F0EC0">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bookmarkStart w:id="0" w:name="_GoBack"/>
            <w:bookmarkEnd w:id="0"/>
          </w:p>
        </w:tc>
        <w:tc>
          <w:tcPr>
            <w:tcW w:w="1417"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F0EC0" w:rsidRPr="009116E7" w:rsidTr="008F0E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Evelise Jaime de Menezes </w:t>
            </w:r>
          </w:p>
        </w:tc>
        <w:tc>
          <w:tcPr>
            <w:tcW w:w="1417" w:type="dxa"/>
          </w:tcPr>
          <w:p w:rsidR="008F0EC0" w:rsidRDefault="008F0EC0" w:rsidP="008F0EC0">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F0EC0" w:rsidRPr="009116E7" w:rsidTr="008F0E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Fábio Müller </w:t>
            </w:r>
          </w:p>
        </w:tc>
        <w:tc>
          <w:tcPr>
            <w:tcW w:w="1417" w:type="dxa"/>
          </w:tcPr>
          <w:p w:rsidR="008F0EC0" w:rsidRDefault="008F0EC0" w:rsidP="008F0EC0">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8F0EC0" w:rsidRPr="009116E7" w:rsidTr="008F0E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Fausto Henrique Steffen </w:t>
            </w:r>
          </w:p>
        </w:tc>
        <w:tc>
          <w:tcPr>
            <w:tcW w:w="1417" w:type="dxa"/>
          </w:tcPr>
          <w:p w:rsidR="008F0EC0" w:rsidRDefault="008F0EC0" w:rsidP="008F0EC0">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F0EC0" w:rsidRPr="009116E7" w:rsidTr="008F0E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Gislaine Vargas Saibro </w:t>
            </w:r>
          </w:p>
        </w:tc>
        <w:tc>
          <w:tcPr>
            <w:tcW w:w="1417" w:type="dxa"/>
          </w:tcPr>
          <w:p w:rsidR="008F0EC0" w:rsidRDefault="008F0EC0" w:rsidP="008F0EC0">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8F0EC0" w:rsidRPr="009116E7" w:rsidTr="008F0E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Ingrid Louise de Souza Dahm </w:t>
            </w:r>
          </w:p>
        </w:tc>
        <w:tc>
          <w:tcPr>
            <w:tcW w:w="1417" w:type="dxa"/>
          </w:tcPr>
          <w:p w:rsidR="008F0EC0" w:rsidRDefault="008F0EC0" w:rsidP="008F0EC0">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F0EC0" w:rsidRPr="009116E7" w:rsidTr="008F0E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Lidia Glacir Gomes Rodrigues </w:t>
            </w:r>
          </w:p>
        </w:tc>
        <w:tc>
          <w:tcPr>
            <w:tcW w:w="1417" w:type="dxa"/>
            <w:vAlign w:val="center"/>
          </w:tcPr>
          <w:p w:rsidR="008F0EC0" w:rsidRDefault="00427233"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sidRPr="00750F53">
              <w:rPr>
                <w:rFonts w:ascii="Calibri" w:hAnsi="Calibri" w:cs="Calibri"/>
                <w:sz w:val="22"/>
                <w:szCs w:val="22"/>
              </w:rPr>
              <w:t>X</w:t>
            </w:r>
          </w:p>
        </w:tc>
        <w:tc>
          <w:tcPr>
            <w:tcW w:w="1418"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F0EC0" w:rsidRPr="009116E7" w:rsidTr="008F0E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Magali Mingotti </w:t>
            </w:r>
          </w:p>
        </w:tc>
        <w:tc>
          <w:tcPr>
            <w:tcW w:w="1417" w:type="dxa"/>
          </w:tcPr>
          <w:p w:rsidR="008F0EC0" w:rsidRDefault="008F0EC0" w:rsidP="008F0EC0">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8F0EC0" w:rsidRPr="00A90A79" w:rsidRDefault="00427233"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8F0EC0" w:rsidRPr="009116E7" w:rsidTr="008F0E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Márcia Elizabeth Martins </w:t>
            </w:r>
          </w:p>
        </w:tc>
        <w:tc>
          <w:tcPr>
            <w:tcW w:w="1417" w:type="dxa"/>
          </w:tcPr>
          <w:p w:rsidR="008F0EC0" w:rsidRDefault="008F0EC0" w:rsidP="008F0EC0">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F0EC0" w:rsidRPr="009116E7" w:rsidTr="008F0E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Orildes Tres </w:t>
            </w:r>
          </w:p>
        </w:tc>
        <w:tc>
          <w:tcPr>
            <w:tcW w:w="1417" w:type="dxa"/>
          </w:tcPr>
          <w:p w:rsidR="008F0EC0" w:rsidRDefault="008F0EC0" w:rsidP="008F0EC0">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F0EC0" w:rsidRPr="009116E7" w:rsidTr="008F0E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Rafael Ártico </w:t>
            </w:r>
          </w:p>
        </w:tc>
        <w:tc>
          <w:tcPr>
            <w:tcW w:w="1417" w:type="dxa"/>
          </w:tcPr>
          <w:p w:rsidR="008F0EC0" w:rsidRDefault="008F0EC0" w:rsidP="008F0EC0">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F0EC0" w:rsidRPr="009116E7" w:rsidTr="008F0E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Rinaldo Ferreira Barbosa </w:t>
            </w:r>
          </w:p>
        </w:tc>
        <w:tc>
          <w:tcPr>
            <w:tcW w:w="1417" w:type="dxa"/>
          </w:tcPr>
          <w:p w:rsidR="008F0EC0" w:rsidRDefault="008F0EC0" w:rsidP="008F0EC0">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F0EC0" w:rsidRPr="009116E7" w:rsidTr="008F0E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Rodrigo Spinelli </w:t>
            </w:r>
          </w:p>
        </w:tc>
        <w:tc>
          <w:tcPr>
            <w:tcW w:w="1417" w:type="dxa"/>
          </w:tcPr>
          <w:p w:rsidR="008F0EC0" w:rsidRDefault="008F0EC0" w:rsidP="008F0EC0">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F0EC0" w:rsidRPr="00A90A79" w:rsidRDefault="008F0EC0" w:rsidP="008F0E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F0EC0" w:rsidRPr="009116E7" w:rsidTr="008F0E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F0EC0" w:rsidRPr="005C141C" w:rsidRDefault="008F0EC0" w:rsidP="008F0EC0">
            <w:pPr>
              <w:pStyle w:val="PargrafodaLista"/>
              <w:numPr>
                <w:ilvl w:val="0"/>
                <w:numId w:val="20"/>
              </w:numPr>
              <w:ind w:left="454" w:hanging="407"/>
              <w:rPr>
                <w:rFonts w:ascii="Calibri" w:hAnsi="Calibri" w:cs="Calibri"/>
                <w:b w:val="0"/>
                <w:sz w:val="22"/>
                <w:szCs w:val="22"/>
              </w:rPr>
            </w:pPr>
            <w:r w:rsidRPr="005C141C">
              <w:rPr>
                <w:rFonts w:ascii="Calibri" w:hAnsi="Calibri" w:cs="Calibri"/>
                <w:b w:val="0"/>
                <w:sz w:val="22"/>
                <w:szCs w:val="22"/>
              </w:rPr>
              <w:t>Sílvia Monteiro Barakat </w:t>
            </w:r>
          </w:p>
        </w:tc>
        <w:tc>
          <w:tcPr>
            <w:tcW w:w="1417" w:type="dxa"/>
            <w:vAlign w:val="center"/>
          </w:tcPr>
          <w:p w:rsidR="008F0EC0"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750F53">
              <w:rPr>
                <w:rFonts w:ascii="Calibri" w:hAnsi="Calibri" w:cs="Calibri"/>
                <w:sz w:val="22"/>
                <w:szCs w:val="22"/>
              </w:rPr>
              <w:t>X</w:t>
            </w:r>
          </w:p>
        </w:tc>
        <w:tc>
          <w:tcPr>
            <w:tcW w:w="1418"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8F0EC0" w:rsidRPr="00A90A79" w:rsidRDefault="008F0EC0" w:rsidP="008F0EC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8F0EC0" w:rsidRPr="00A90A79" w:rsidRDefault="008F0EC0" w:rsidP="008F0EC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A90A79" w:rsidRPr="009116E7" w:rsidTr="00A57067">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Pr>
          <w:p w:rsidR="00A90A79" w:rsidRPr="00A90A79" w:rsidRDefault="00A90A79" w:rsidP="008F0EC0">
            <w:pPr>
              <w:jc w:val="center"/>
              <w:rPr>
                <w:rFonts w:asciiTheme="minorHAnsi" w:hAnsiTheme="minorHAnsi" w:cstheme="minorHAnsi"/>
                <w:sz w:val="22"/>
                <w:szCs w:val="22"/>
                <w:highlight w:val="yellow"/>
              </w:rPr>
            </w:pPr>
          </w:p>
        </w:tc>
        <w:tc>
          <w:tcPr>
            <w:tcW w:w="1418" w:type="dxa"/>
          </w:tcPr>
          <w:p w:rsidR="00A90A79" w:rsidRPr="00A90A79" w:rsidRDefault="00A90A79" w:rsidP="008F0EC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Pr>
          <w:p w:rsidR="00A90A79" w:rsidRPr="00A90A79" w:rsidRDefault="00A90A79" w:rsidP="008F0EC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Pr>
          <w:p w:rsidR="00A90A79" w:rsidRPr="00A90A79" w:rsidRDefault="00A90A79" w:rsidP="008F0EC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F0EC0">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F0EC0">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F0EC0">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F0EC0">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F0EC0">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w:t>
            </w:r>
            <w:r w:rsidR="00A57067">
              <w:rPr>
                <w:rFonts w:asciiTheme="minorHAnsi" w:eastAsia="Times New Roman" w:hAnsiTheme="minorHAnsi" w:cstheme="minorHAnsi"/>
                <w:b/>
                <w:bCs/>
                <w:sz w:val="20"/>
                <w:szCs w:val="22"/>
                <w:lang w:eastAsia="pt-BR"/>
              </w:rPr>
              <w:t>4</w:t>
            </w:r>
          </w:p>
          <w:p w:rsidR="004F4077" w:rsidRPr="009116E7" w:rsidRDefault="004F4077" w:rsidP="008F0EC0">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F0EC0">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F0EC0">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57067">
              <w:rPr>
                <w:rFonts w:asciiTheme="minorHAnsi" w:eastAsia="Times New Roman" w:hAnsiTheme="minorHAnsi" w:cstheme="minorHAnsi"/>
                <w:b/>
                <w:bCs/>
                <w:sz w:val="20"/>
                <w:szCs w:val="22"/>
                <w:lang w:eastAsia="pt-BR"/>
              </w:rPr>
              <w:t>29/07</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F0EC0">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F0EC0">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1E73E2">
              <w:rPr>
                <w:rFonts w:asciiTheme="minorHAnsi" w:eastAsia="Times New Roman" w:hAnsiTheme="minorHAnsi" w:cstheme="minorHAnsi"/>
                <w:b/>
                <w:bCs/>
                <w:sz w:val="20"/>
                <w:szCs w:val="22"/>
                <w:lang w:eastAsia="pt-BR"/>
              </w:rPr>
              <w:t>1490</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1E73E2">
              <w:rPr>
                <w:rFonts w:asciiTheme="minorHAnsi" w:hAnsiTheme="minorHAnsi" w:cstheme="minorHAnsi"/>
                <w:sz w:val="20"/>
                <w:szCs w:val="22"/>
                <w:lang w:eastAsia="pt-BR"/>
              </w:rPr>
              <w:t xml:space="preserve">Balancete Mensal CAU/RS - </w:t>
            </w:r>
            <w:proofErr w:type="gramStart"/>
            <w:r w:rsidR="001E73E2">
              <w:rPr>
                <w:rFonts w:asciiTheme="minorHAnsi" w:hAnsiTheme="minorHAnsi" w:cstheme="minorHAnsi"/>
                <w:sz w:val="20"/>
                <w:szCs w:val="22"/>
                <w:lang w:eastAsia="pt-BR"/>
              </w:rPr>
              <w:t>Maio</w:t>
            </w:r>
            <w:proofErr w:type="gramEnd"/>
            <w:r w:rsidR="001E73E2">
              <w:rPr>
                <w:rFonts w:asciiTheme="minorHAnsi" w:hAnsiTheme="minorHAnsi" w:cstheme="minorHAnsi"/>
                <w:sz w:val="20"/>
                <w:szCs w:val="22"/>
                <w:lang w:eastAsia="pt-BR"/>
              </w:rPr>
              <w:t>/2022</w:t>
            </w:r>
          </w:p>
          <w:p w:rsidR="004F4077" w:rsidRPr="009116E7" w:rsidRDefault="004F4077" w:rsidP="008F0EC0">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F0EC0">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6262D" w:rsidRDefault="004F4077" w:rsidP="008F0EC0">
            <w:pPr>
              <w:spacing w:line="276" w:lineRule="auto"/>
              <w:jc w:val="both"/>
              <w:textAlignment w:val="baseline"/>
              <w:rPr>
                <w:rFonts w:asciiTheme="minorHAnsi" w:eastAsia="Times New Roman" w:hAnsiTheme="minorHAnsi" w:cstheme="minorHAnsi"/>
                <w:bCs/>
                <w:sz w:val="20"/>
                <w:szCs w:val="22"/>
                <w:lang w:eastAsia="pt-BR"/>
              </w:rPr>
            </w:pPr>
            <w:r w:rsidRPr="005B5313">
              <w:rPr>
                <w:rFonts w:asciiTheme="minorHAnsi" w:eastAsia="Times New Roman" w:hAnsiTheme="minorHAnsi" w:cstheme="minorHAnsi"/>
                <w:b/>
                <w:bCs/>
                <w:sz w:val="20"/>
                <w:szCs w:val="22"/>
                <w:lang w:eastAsia="pt-BR"/>
              </w:rPr>
              <w:t xml:space="preserve">Resultado da votação: </w:t>
            </w:r>
            <w:r w:rsidR="009116E7" w:rsidRPr="005B5313">
              <w:rPr>
                <w:rFonts w:asciiTheme="minorHAnsi" w:eastAsia="Times New Roman" w:hAnsiTheme="minorHAnsi" w:cstheme="minorHAnsi"/>
                <w:bCs/>
                <w:sz w:val="20"/>
                <w:szCs w:val="22"/>
                <w:lang w:eastAsia="pt-BR"/>
              </w:rPr>
              <w:t>Favoráve</w:t>
            </w:r>
            <w:r w:rsidR="00EE061E" w:rsidRPr="005B5313">
              <w:rPr>
                <w:rFonts w:asciiTheme="minorHAnsi" w:eastAsia="Times New Roman" w:hAnsiTheme="minorHAnsi" w:cstheme="minorHAnsi"/>
                <w:bCs/>
                <w:sz w:val="20"/>
                <w:szCs w:val="22"/>
                <w:lang w:eastAsia="pt-BR"/>
              </w:rPr>
              <w:t>is (</w:t>
            </w:r>
            <w:r w:rsidR="005B5313" w:rsidRPr="005B5313">
              <w:rPr>
                <w:rFonts w:asciiTheme="minorHAnsi" w:eastAsia="Times New Roman" w:hAnsiTheme="minorHAnsi" w:cstheme="minorHAnsi"/>
                <w:bCs/>
                <w:sz w:val="20"/>
                <w:szCs w:val="22"/>
                <w:lang w:eastAsia="pt-BR"/>
              </w:rPr>
              <w:t>19</w:t>
            </w:r>
            <w:r w:rsidR="00EE061E" w:rsidRPr="005B5313">
              <w:rPr>
                <w:rFonts w:asciiTheme="minorHAnsi" w:eastAsia="Times New Roman" w:hAnsiTheme="minorHAnsi" w:cstheme="minorHAnsi"/>
                <w:bCs/>
                <w:sz w:val="20"/>
                <w:szCs w:val="22"/>
                <w:lang w:eastAsia="pt-BR"/>
              </w:rPr>
              <w:t>) Ausências (</w:t>
            </w:r>
            <w:r w:rsidR="005B5313" w:rsidRPr="005B5313">
              <w:rPr>
                <w:rFonts w:asciiTheme="minorHAnsi" w:eastAsia="Times New Roman" w:hAnsiTheme="minorHAnsi" w:cstheme="minorHAnsi"/>
                <w:bCs/>
                <w:sz w:val="20"/>
                <w:szCs w:val="22"/>
                <w:lang w:eastAsia="pt-BR"/>
              </w:rPr>
              <w:t>03</w:t>
            </w:r>
            <w:proofErr w:type="gramStart"/>
            <w:r w:rsidR="00EE061E" w:rsidRPr="005B5313">
              <w:rPr>
                <w:rFonts w:asciiTheme="minorHAnsi" w:eastAsia="Times New Roman" w:hAnsiTheme="minorHAnsi" w:cstheme="minorHAnsi"/>
                <w:bCs/>
                <w:sz w:val="20"/>
                <w:szCs w:val="22"/>
                <w:lang w:eastAsia="pt-BR"/>
              </w:rPr>
              <w:t>)</w:t>
            </w:r>
            <w:r w:rsidR="00904C0A" w:rsidRPr="005B5313">
              <w:rPr>
                <w:rFonts w:asciiTheme="minorHAnsi" w:eastAsia="Times New Roman" w:hAnsiTheme="minorHAnsi" w:cstheme="minorHAnsi"/>
                <w:bCs/>
                <w:sz w:val="20"/>
                <w:szCs w:val="22"/>
                <w:lang w:eastAsia="pt-BR"/>
              </w:rPr>
              <w:t xml:space="preserve"> </w:t>
            </w:r>
            <w:r w:rsidR="005B5313" w:rsidRPr="005B5313">
              <w:rPr>
                <w:rFonts w:asciiTheme="minorHAnsi" w:eastAsia="Times New Roman" w:hAnsiTheme="minorHAnsi" w:cstheme="minorHAnsi"/>
                <w:bCs/>
                <w:sz w:val="20"/>
                <w:szCs w:val="22"/>
                <w:lang w:eastAsia="pt-BR"/>
              </w:rPr>
              <w:t>T</w:t>
            </w:r>
            <w:r w:rsidR="00EE061E" w:rsidRPr="005B5313">
              <w:rPr>
                <w:rFonts w:asciiTheme="minorHAnsi" w:eastAsia="Times New Roman" w:hAnsiTheme="minorHAnsi" w:cstheme="minorHAnsi"/>
                <w:bCs/>
                <w:sz w:val="20"/>
                <w:szCs w:val="22"/>
                <w:lang w:eastAsia="pt-BR"/>
              </w:rPr>
              <w:t>otal</w:t>
            </w:r>
            <w:proofErr w:type="gramEnd"/>
            <w:r w:rsidR="00EE061E" w:rsidRPr="005B5313">
              <w:rPr>
                <w:rFonts w:asciiTheme="minorHAnsi" w:eastAsia="Times New Roman" w:hAnsiTheme="minorHAnsi" w:cstheme="minorHAnsi"/>
                <w:bCs/>
                <w:sz w:val="20"/>
                <w:szCs w:val="22"/>
                <w:lang w:eastAsia="pt-BR"/>
              </w:rPr>
              <w:t> (</w:t>
            </w:r>
            <w:r w:rsidR="0086262D" w:rsidRPr="005B5313">
              <w:rPr>
                <w:rFonts w:asciiTheme="minorHAnsi" w:eastAsia="Times New Roman" w:hAnsiTheme="minorHAnsi" w:cstheme="minorHAnsi"/>
                <w:bCs/>
                <w:sz w:val="20"/>
                <w:szCs w:val="22"/>
                <w:lang w:eastAsia="pt-BR"/>
              </w:rPr>
              <w:t>22</w:t>
            </w:r>
            <w:r w:rsidR="009116E7" w:rsidRPr="005B5313">
              <w:rPr>
                <w:rFonts w:asciiTheme="minorHAnsi" w:eastAsia="Times New Roman" w:hAnsiTheme="minorHAnsi" w:cstheme="minorHAnsi"/>
                <w:bCs/>
                <w:sz w:val="20"/>
                <w:szCs w:val="22"/>
                <w:lang w:eastAsia="pt-BR"/>
              </w:rPr>
              <w:t>)</w:t>
            </w:r>
            <w:r w:rsidR="009116E7" w:rsidRPr="0086262D">
              <w:rPr>
                <w:rFonts w:asciiTheme="minorHAnsi" w:eastAsia="Times New Roman" w:hAnsiTheme="minorHAnsi" w:cstheme="minorHAnsi"/>
                <w:bCs/>
                <w:sz w:val="20"/>
                <w:szCs w:val="22"/>
                <w:lang w:eastAsia="pt-BR"/>
              </w:rPr>
              <w:t> </w:t>
            </w:r>
          </w:p>
          <w:p w:rsidR="004F4077" w:rsidRPr="00871AD5" w:rsidRDefault="004F4077" w:rsidP="008F0EC0">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9116E7" w:rsidRPr="009116E7" w:rsidTr="008F0EC0">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F0EC0">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F0EC0">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F0EC0">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F0EC0">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1E73E2" w:rsidRDefault="001E73E2" w:rsidP="009F48A5">
      <w:pPr>
        <w:spacing w:after="200" w:line="276" w:lineRule="auto"/>
        <w:jc w:val="center"/>
        <w:rPr>
          <w:rFonts w:asciiTheme="minorHAnsi" w:hAnsiTheme="minorHAnsi" w:cstheme="minorHAnsi"/>
          <w:b/>
          <w:bCs/>
          <w:sz w:val="22"/>
          <w:szCs w:val="22"/>
          <w:lang w:eastAsia="pt-BR"/>
        </w:rPr>
      </w:pPr>
    </w:p>
    <w:p w:rsidR="001E73E2" w:rsidRDefault="001E73E2">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rsidR="001E73E2" w:rsidRPr="00B84765" w:rsidRDefault="001E73E2" w:rsidP="001E73E2">
      <w:pPr>
        <w:spacing w:after="120" w:line="360" w:lineRule="auto"/>
        <w:ind w:firstLine="708"/>
        <w:jc w:val="right"/>
        <w:rPr>
          <w:rFonts w:asciiTheme="minorHAnsi" w:hAnsiTheme="minorHAnsi" w:cstheme="minorHAnsi"/>
          <w:sz w:val="22"/>
          <w:szCs w:val="22"/>
        </w:rPr>
      </w:pPr>
    </w:p>
    <w:p w:rsidR="001E73E2" w:rsidRPr="00B84765" w:rsidRDefault="001E73E2" w:rsidP="001E73E2">
      <w:pPr>
        <w:spacing w:after="120" w:line="360" w:lineRule="auto"/>
        <w:ind w:firstLine="708"/>
        <w:jc w:val="right"/>
        <w:rPr>
          <w:rFonts w:asciiTheme="minorHAnsi" w:hAnsiTheme="minorHAnsi" w:cstheme="minorHAnsi"/>
          <w:sz w:val="22"/>
          <w:szCs w:val="22"/>
        </w:rPr>
      </w:pPr>
      <w:r w:rsidRPr="00B84765">
        <w:rPr>
          <w:rFonts w:asciiTheme="minorHAnsi" w:hAnsiTheme="minorHAnsi" w:cstheme="minorHAnsi"/>
          <w:sz w:val="22"/>
          <w:szCs w:val="22"/>
        </w:rPr>
        <w:t xml:space="preserve">Porto Alegre, </w:t>
      </w:r>
      <w:r>
        <w:rPr>
          <w:rFonts w:asciiTheme="minorHAnsi" w:hAnsiTheme="minorHAnsi" w:cstheme="minorHAnsi"/>
          <w:sz w:val="22"/>
          <w:szCs w:val="22"/>
        </w:rPr>
        <w:t>04 de julho de 2022</w:t>
      </w:r>
      <w:r w:rsidRPr="00B84765">
        <w:rPr>
          <w:rFonts w:asciiTheme="minorHAnsi" w:hAnsiTheme="minorHAnsi" w:cstheme="minorHAnsi"/>
          <w:sz w:val="22"/>
          <w:szCs w:val="22"/>
        </w:rPr>
        <w:t>.</w:t>
      </w:r>
    </w:p>
    <w:p w:rsidR="001E73E2" w:rsidRPr="00B84765" w:rsidRDefault="001E73E2" w:rsidP="001E73E2">
      <w:pPr>
        <w:spacing w:after="120" w:line="360" w:lineRule="auto"/>
        <w:ind w:firstLine="708"/>
        <w:jc w:val="right"/>
        <w:rPr>
          <w:rFonts w:asciiTheme="minorHAnsi" w:hAnsiTheme="minorHAnsi" w:cstheme="minorHAnsi"/>
          <w:sz w:val="22"/>
          <w:szCs w:val="22"/>
        </w:rPr>
      </w:pPr>
    </w:p>
    <w:p w:rsidR="001E73E2" w:rsidRPr="00FC1763" w:rsidRDefault="001E73E2" w:rsidP="001E73E2">
      <w:pPr>
        <w:spacing w:after="120" w:line="360" w:lineRule="auto"/>
        <w:jc w:val="center"/>
        <w:rPr>
          <w:rFonts w:asciiTheme="minorHAnsi" w:hAnsiTheme="minorHAnsi" w:cstheme="minorHAnsi"/>
          <w:b/>
          <w:sz w:val="22"/>
          <w:szCs w:val="22"/>
          <w:u w:val="single"/>
        </w:rPr>
      </w:pPr>
      <w:r w:rsidRPr="00FC1763">
        <w:rPr>
          <w:rFonts w:asciiTheme="minorHAnsi" w:hAnsiTheme="minorHAnsi" w:cstheme="minorHAnsi"/>
          <w:b/>
          <w:sz w:val="22"/>
          <w:szCs w:val="22"/>
          <w:u w:val="single"/>
        </w:rPr>
        <w:t xml:space="preserve">Relatório Contábil </w:t>
      </w:r>
      <w:r>
        <w:rPr>
          <w:rFonts w:asciiTheme="minorHAnsi" w:hAnsiTheme="minorHAnsi" w:cstheme="minorHAnsi"/>
          <w:b/>
          <w:sz w:val="22"/>
          <w:szCs w:val="22"/>
          <w:u w:val="single"/>
        </w:rPr>
        <w:t>05/2022</w:t>
      </w:r>
    </w:p>
    <w:p w:rsidR="001E73E2" w:rsidRPr="00B84765" w:rsidRDefault="001E73E2" w:rsidP="001E73E2">
      <w:pPr>
        <w:spacing w:after="120" w:line="360" w:lineRule="auto"/>
        <w:ind w:firstLine="708"/>
        <w:jc w:val="both"/>
        <w:rPr>
          <w:rFonts w:asciiTheme="minorHAnsi" w:hAnsiTheme="minorHAnsi" w:cstheme="minorHAnsi"/>
          <w:sz w:val="22"/>
          <w:szCs w:val="22"/>
        </w:rPr>
      </w:pPr>
    </w:p>
    <w:p w:rsidR="001E73E2" w:rsidRPr="00B84765" w:rsidRDefault="001E73E2" w:rsidP="001E73E2">
      <w:pPr>
        <w:spacing w:after="120" w:line="360" w:lineRule="auto"/>
        <w:ind w:firstLine="708"/>
        <w:jc w:val="both"/>
        <w:rPr>
          <w:rFonts w:asciiTheme="minorHAnsi" w:hAnsiTheme="minorHAnsi" w:cstheme="minorHAnsi"/>
          <w:sz w:val="22"/>
          <w:szCs w:val="22"/>
        </w:rPr>
      </w:pPr>
      <w:r w:rsidRPr="00B84765">
        <w:rPr>
          <w:rFonts w:asciiTheme="minorHAnsi" w:hAnsiTheme="minorHAnsi" w:cstheme="minorHAnsi"/>
          <w:sz w:val="22"/>
          <w:szCs w:val="22"/>
        </w:rPr>
        <w:t xml:space="preserve">Após análise do Balancete do mês de </w:t>
      </w:r>
      <w:r>
        <w:rPr>
          <w:rFonts w:asciiTheme="minorHAnsi" w:hAnsiTheme="minorHAnsi" w:cstheme="minorHAnsi"/>
          <w:sz w:val="22"/>
          <w:szCs w:val="22"/>
        </w:rPr>
        <w:t xml:space="preserve">maio </w:t>
      </w:r>
      <w:r w:rsidRPr="00B84765">
        <w:rPr>
          <w:rFonts w:asciiTheme="minorHAnsi" w:hAnsiTheme="minorHAnsi" w:cstheme="minorHAnsi"/>
          <w:sz w:val="22"/>
          <w:szCs w:val="22"/>
        </w:rPr>
        <w:t>de 20</w:t>
      </w:r>
      <w:r>
        <w:rPr>
          <w:rFonts w:asciiTheme="minorHAnsi" w:hAnsiTheme="minorHAnsi" w:cstheme="minorHAnsi"/>
          <w:sz w:val="22"/>
          <w:szCs w:val="22"/>
        </w:rPr>
        <w:t>22</w:t>
      </w:r>
      <w:r w:rsidRPr="00B84765">
        <w:rPr>
          <w:rFonts w:asciiTheme="minorHAnsi" w:hAnsiTheme="minorHAnsi" w:cstheme="minorHAnsi"/>
          <w:sz w:val="22"/>
          <w:szCs w:val="22"/>
        </w:rPr>
        <w:t>, passamos a demonstrar a situação orçamentária e financeira:</w:t>
      </w:r>
    </w:p>
    <w:p w:rsidR="001E73E2" w:rsidRPr="00B84765" w:rsidRDefault="001E73E2" w:rsidP="001E73E2">
      <w:pPr>
        <w:spacing w:after="120" w:line="360" w:lineRule="auto"/>
        <w:ind w:firstLine="708"/>
        <w:jc w:val="both"/>
        <w:rPr>
          <w:rFonts w:asciiTheme="minorHAnsi" w:hAnsiTheme="minorHAnsi" w:cstheme="minorHAnsi"/>
          <w:sz w:val="22"/>
          <w:szCs w:val="22"/>
        </w:rPr>
      </w:pPr>
    </w:p>
    <w:p w:rsidR="001E73E2" w:rsidRPr="00B84765" w:rsidRDefault="001E73E2" w:rsidP="001E73E2">
      <w:pPr>
        <w:pStyle w:val="PargrafodaLista"/>
        <w:numPr>
          <w:ilvl w:val="0"/>
          <w:numId w:val="19"/>
        </w:numPr>
        <w:spacing w:after="120" w:line="360" w:lineRule="auto"/>
        <w:contextualSpacing w:val="0"/>
        <w:jc w:val="both"/>
        <w:rPr>
          <w:rFonts w:asciiTheme="minorHAnsi" w:hAnsiTheme="minorHAnsi" w:cstheme="minorHAnsi"/>
          <w:b/>
          <w:sz w:val="22"/>
          <w:szCs w:val="22"/>
        </w:rPr>
      </w:pPr>
      <w:r w:rsidRPr="00B84765">
        <w:rPr>
          <w:rFonts w:asciiTheme="minorHAnsi" w:hAnsiTheme="minorHAnsi" w:cstheme="minorHAnsi"/>
          <w:b/>
          <w:sz w:val="22"/>
          <w:szCs w:val="22"/>
        </w:rPr>
        <w:t>Execução Orçamentária</w:t>
      </w:r>
    </w:p>
    <w:p w:rsidR="001E73E2" w:rsidRPr="00B84765" w:rsidRDefault="001E73E2" w:rsidP="001E73E2">
      <w:pPr>
        <w:spacing w:after="120" w:line="360" w:lineRule="auto"/>
        <w:jc w:val="both"/>
        <w:rPr>
          <w:rFonts w:asciiTheme="minorHAnsi" w:hAnsiTheme="minorHAnsi" w:cstheme="minorHAnsi"/>
          <w:sz w:val="22"/>
          <w:szCs w:val="22"/>
        </w:rPr>
      </w:pPr>
    </w:p>
    <w:p w:rsidR="001E73E2" w:rsidRPr="00B84765" w:rsidRDefault="001E73E2" w:rsidP="001E73E2">
      <w:pPr>
        <w:spacing w:after="120" w:line="360" w:lineRule="auto"/>
        <w:ind w:firstLine="708"/>
        <w:jc w:val="both"/>
        <w:rPr>
          <w:rFonts w:asciiTheme="minorHAnsi" w:hAnsiTheme="minorHAnsi" w:cstheme="minorHAnsi"/>
          <w:b/>
          <w:sz w:val="22"/>
          <w:szCs w:val="22"/>
        </w:rPr>
      </w:pPr>
      <w:r w:rsidRPr="00B84765">
        <w:rPr>
          <w:rFonts w:asciiTheme="minorHAnsi" w:hAnsiTheme="minorHAnsi" w:cstheme="minorHAnsi"/>
          <w:b/>
          <w:sz w:val="22"/>
          <w:szCs w:val="22"/>
        </w:rPr>
        <w:t>Receita</w:t>
      </w:r>
    </w:p>
    <w:p w:rsidR="001E73E2" w:rsidRPr="00B84765" w:rsidRDefault="001E73E2" w:rsidP="001E73E2">
      <w:pPr>
        <w:pStyle w:val="Default"/>
        <w:spacing w:after="120" w:line="360" w:lineRule="auto"/>
        <w:ind w:firstLine="708"/>
        <w:jc w:val="both"/>
        <w:rPr>
          <w:rFonts w:asciiTheme="minorHAnsi" w:hAnsiTheme="minorHAnsi" w:cstheme="minorHAnsi"/>
          <w:sz w:val="22"/>
          <w:szCs w:val="22"/>
        </w:rPr>
      </w:pPr>
      <w:r w:rsidRPr="00A11510">
        <w:rPr>
          <w:rFonts w:asciiTheme="minorHAnsi" w:hAnsiTheme="minorHAnsi" w:cstheme="minorHAnsi"/>
          <w:sz w:val="22"/>
          <w:szCs w:val="22"/>
        </w:rPr>
        <w:t xml:space="preserve">A receita arrecadada até </w:t>
      </w:r>
      <w:r>
        <w:rPr>
          <w:rFonts w:asciiTheme="minorHAnsi" w:hAnsiTheme="minorHAnsi" w:cstheme="minorHAnsi"/>
          <w:sz w:val="22"/>
          <w:szCs w:val="22"/>
        </w:rPr>
        <w:t>maio</w:t>
      </w:r>
      <w:r w:rsidRPr="00A11510">
        <w:rPr>
          <w:rFonts w:asciiTheme="minorHAnsi" w:hAnsiTheme="minorHAnsi" w:cstheme="minorHAnsi"/>
          <w:sz w:val="22"/>
          <w:szCs w:val="22"/>
        </w:rPr>
        <w:t xml:space="preserve"> de 20</w:t>
      </w:r>
      <w:r>
        <w:rPr>
          <w:rFonts w:asciiTheme="minorHAnsi" w:hAnsiTheme="minorHAnsi" w:cstheme="minorHAnsi"/>
          <w:sz w:val="22"/>
          <w:szCs w:val="22"/>
        </w:rPr>
        <w:t>22</w:t>
      </w:r>
      <w:r w:rsidRPr="00A11510">
        <w:rPr>
          <w:rFonts w:asciiTheme="minorHAnsi" w:hAnsiTheme="minorHAnsi" w:cstheme="minorHAnsi"/>
          <w:sz w:val="22"/>
          <w:szCs w:val="22"/>
        </w:rPr>
        <w:t xml:space="preserve"> atingiu o valor de R$</w:t>
      </w:r>
      <w:r>
        <w:rPr>
          <w:rFonts w:asciiTheme="minorHAnsi" w:hAnsiTheme="minorHAnsi" w:cstheme="minorHAnsi"/>
          <w:sz w:val="22"/>
          <w:szCs w:val="22"/>
        </w:rPr>
        <w:t xml:space="preserve"> 8.951.034,64</w:t>
      </w:r>
      <w:r w:rsidRPr="00A11510">
        <w:rPr>
          <w:rFonts w:asciiTheme="minorHAnsi" w:hAnsiTheme="minorHAnsi" w:cstheme="minorHAnsi"/>
          <w:sz w:val="22"/>
          <w:szCs w:val="22"/>
        </w:rPr>
        <w:t xml:space="preserve">, que </w:t>
      </w:r>
      <w:r w:rsidRPr="00A11510">
        <w:rPr>
          <w:rFonts w:asciiTheme="minorHAnsi" w:hAnsiTheme="minorHAnsi" w:cstheme="minorHAnsi"/>
          <w:color w:val="auto"/>
          <w:sz w:val="22"/>
          <w:szCs w:val="22"/>
        </w:rPr>
        <w:t xml:space="preserve">corresponde a </w:t>
      </w:r>
      <w:r>
        <w:rPr>
          <w:rFonts w:asciiTheme="minorHAnsi" w:hAnsiTheme="minorHAnsi" w:cstheme="minorHAnsi"/>
          <w:color w:val="auto"/>
          <w:sz w:val="22"/>
          <w:szCs w:val="22"/>
        </w:rPr>
        <w:t>40,21</w:t>
      </w:r>
      <w:r w:rsidRPr="00A11510">
        <w:rPr>
          <w:rFonts w:asciiTheme="minorHAnsi" w:hAnsiTheme="minorHAnsi" w:cstheme="minorHAnsi"/>
          <w:color w:val="auto"/>
          <w:sz w:val="22"/>
          <w:szCs w:val="22"/>
        </w:rPr>
        <w:t>%</w:t>
      </w:r>
      <w:r w:rsidRPr="00A11510">
        <w:rPr>
          <w:rFonts w:asciiTheme="minorHAnsi" w:hAnsiTheme="minorHAnsi" w:cstheme="minorHAnsi"/>
          <w:b/>
          <w:bCs/>
          <w:color w:val="auto"/>
          <w:sz w:val="22"/>
          <w:szCs w:val="22"/>
        </w:rPr>
        <w:t xml:space="preserve"> </w:t>
      </w:r>
      <w:r w:rsidRPr="00A11510">
        <w:rPr>
          <w:rFonts w:asciiTheme="minorHAnsi" w:hAnsiTheme="minorHAnsi" w:cstheme="minorHAnsi"/>
          <w:color w:val="auto"/>
          <w:sz w:val="22"/>
          <w:szCs w:val="22"/>
        </w:rPr>
        <w:t xml:space="preserve">da </w:t>
      </w:r>
      <w:r w:rsidRPr="00A11510">
        <w:rPr>
          <w:rFonts w:asciiTheme="minorHAnsi" w:hAnsiTheme="minorHAnsi" w:cstheme="minorHAnsi"/>
          <w:sz w:val="22"/>
          <w:szCs w:val="22"/>
        </w:rPr>
        <w:t xml:space="preserve">Receita Orçamentária prevista para o exercício, que é de R$ </w:t>
      </w:r>
      <w:r>
        <w:rPr>
          <w:rFonts w:asciiTheme="minorHAnsi" w:hAnsiTheme="minorHAnsi" w:cstheme="minorHAnsi"/>
          <w:sz w:val="22"/>
          <w:szCs w:val="22"/>
        </w:rPr>
        <w:t>22.258.459,33</w:t>
      </w:r>
      <w:r w:rsidRPr="00A11510">
        <w:rPr>
          <w:rFonts w:asciiTheme="minorHAnsi" w:hAnsiTheme="minorHAnsi" w:cstheme="minorHAnsi"/>
          <w:sz w:val="22"/>
          <w:szCs w:val="22"/>
        </w:rPr>
        <w:t>.</w:t>
      </w:r>
    </w:p>
    <w:bookmarkStart w:id="1" w:name="_MON_1610779399"/>
    <w:bookmarkEnd w:id="1"/>
    <w:p w:rsidR="001E73E2" w:rsidRPr="00B84765" w:rsidRDefault="001E73E2" w:rsidP="001E73E2">
      <w:pPr>
        <w:pStyle w:val="Default"/>
        <w:spacing w:after="120" w:line="360" w:lineRule="auto"/>
        <w:jc w:val="center"/>
        <w:rPr>
          <w:rFonts w:asciiTheme="minorHAnsi" w:hAnsiTheme="minorHAnsi" w:cstheme="minorHAnsi"/>
          <w:sz w:val="22"/>
          <w:szCs w:val="22"/>
        </w:rPr>
      </w:pPr>
      <w:r w:rsidRPr="00B84765">
        <w:rPr>
          <w:rFonts w:asciiTheme="minorHAnsi" w:hAnsiTheme="minorHAnsi" w:cstheme="minorHAnsi"/>
          <w:sz w:val="22"/>
          <w:szCs w:val="22"/>
        </w:rPr>
        <w:object w:dxaOrig="6034" w:dyaOrig="1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90pt" o:ole="">
            <v:imagedata r:id="rId12" o:title=""/>
          </v:shape>
          <o:OLEObject Type="Embed" ProgID="Excel.Sheet.12" ShapeID="_x0000_i1025" DrawAspect="Content" ObjectID="_1721140165" r:id="rId13"/>
        </w:object>
      </w:r>
    </w:p>
    <w:p w:rsidR="001E73E2" w:rsidRPr="00B84765" w:rsidRDefault="001E73E2" w:rsidP="001E73E2">
      <w:pPr>
        <w:pStyle w:val="Default"/>
        <w:spacing w:after="120" w:line="360" w:lineRule="auto"/>
        <w:jc w:val="both"/>
        <w:rPr>
          <w:rFonts w:asciiTheme="minorHAnsi" w:hAnsiTheme="minorHAnsi" w:cstheme="minorHAnsi"/>
          <w:sz w:val="22"/>
          <w:szCs w:val="22"/>
        </w:rPr>
      </w:pPr>
    </w:p>
    <w:p w:rsidR="001E73E2" w:rsidRPr="00B84765" w:rsidRDefault="001E73E2" w:rsidP="001E73E2">
      <w:pPr>
        <w:pStyle w:val="Default"/>
        <w:spacing w:after="120" w:line="360" w:lineRule="auto"/>
        <w:ind w:firstLine="708"/>
        <w:jc w:val="both"/>
        <w:rPr>
          <w:rFonts w:asciiTheme="minorHAnsi" w:hAnsiTheme="minorHAnsi" w:cstheme="minorHAnsi"/>
          <w:sz w:val="22"/>
          <w:szCs w:val="22"/>
        </w:rPr>
      </w:pPr>
      <w:r w:rsidRPr="00B84765">
        <w:rPr>
          <w:rFonts w:asciiTheme="minorHAnsi" w:hAnsiTheme="minorHAnsi" w:cstheme="minorHAnsi"/>
          <w:b/>
          <w:sz w:val="22"/>
          <w:szCs w:val="22"/>
        </w:rPr>
        <w:t>Despesa</w:t>
      </w:r>
    </w:p>
    <w:p w:rsidR="001E73E2" w:rsidRPr="00B84765" w:rsidRDefault="001E73E2" w:rsidP="001E73E2">
      <w:pPr>
        <w:pStyle w:val="Default"/>
        <w:spacing w:after="120" w:line="360" w:lineRule="auto"/>
        <w:ind w:firstLine="708"/>
        <w:jc w:val="both"/>
        <w:rPr>
          <w:rFonts w:asciiTheme="minorHAnsi" w:hAnsiTheme="minorHAnsi" w:cstheme="minorHAnsi"/>
          <w:sz w:val="22"/>
          <w:szCs w:val="22"/>
        </w:rPr>
      </w:pPr>
      <w:r w:rsidRPr="00B84765">
        <w:rPr>
          <w:rFonts w:asciiTheme="minorHAnsi" w:hAnsiTheme="minorHAnsi" w:cstheme="minorHAnsi"/>
          <w:sz w:val="22"/>
          <w:szCs w:val="22"/>
        </w:rPr>
        <w:t>A despesa liquidada até</w:t>
      </w:r>
      <w:r>
        <w:rPr>
          <w:rFonts w:asciiTheme="minorHAnsi" w:hAnsiTheme="minorHAnsi" w:cstheme="minorHAnsi"/>
          <w:sz w:val="22"/>
          <w:szCs w:val="22"/>
        </w:rPr>
        <w:t xml:space="preserve"> maio de 2022</w:t>
      </w:r>
      <w:r w:rsidRPr="00B84765">
        <w:rPr>
          <w:rFonts w:asciiTheme="minorHAnsi" w:hAnsiTheme="minorHAnsi" w:cstheme="minorHAnsi"/>
          <w:sz w:val="22"/>
          <w:szCs w:val="22"/>
        </w:rPr>
        <w:t xml:space="preserve"> atingiu o valor de </w:t>
      </w:r>
      <w:r>
        <w:rPr>
          <w:rFonts w:asciiTheme="minorHAnsi" w:hAnsiTheme="minorHAnsi" w:cstheme="minorHAnsi"/>
          <w:sz w:val="22"/>
          <w:szCs w:val="22"/>
        </w:rPr>
        <w:t>R$ 5.662.679,04</w:t>
      </w:r>
      <w:r w:rsidRPr="00B84765">
        <w:rPr>
          <w:rFonts w:asciiTheme="minorHAnsi" w:hAnsiTheme="minorHAnsi" w:cstheme="minorHAnsi"/>
          <w:sz w:val="22"/>
          <w:szCs w:val="22"/>
        </w:rPr>
        <w:t xml:space="preserve"> que corresponde a </w:t>
      </w:r>
      <w:r>
        <w:rPr>
          <w:rFonts w:asciiTheme="minorHAnsi" w:hAnsiTheme="minorHAnsi" w:cstheme="minorHAnsi"/>
          <w:sz w:val="22"/>
          <w:szCs w:val="22"/>
        </w:rPr>
        <w:t>25,44% d</w:t>
      </w:r>
      <w:r w:rsidRPr="00B84765">
        <w:rPr>
          <w:rFonts w:asciiTheme="minorHAnsi" w:hAnsiTheme="minorHAnsi" w:cstheme="minorHAnsi"/>
          <w:sz w:val="22"/>
          <w:szCs w:val="22"/>
        </w:rPr>
        <w:t>a Despesa Orçamentária prevista para o exerc</w:t>
      </w:r>
      <w:r>
        <w:rPr>
          <w:rFonts w:asciiTheme="minorHAnsi" w:hAnsiTheme="minorHAnsi" w:cstheme="minorHAnsi"/>
          <w:sz w:val="22"/>
          <w:szCs w:val="22"/>
        </w:rPr>
        <w:t>ício</w:t>
      </w:r>
      <w:r w:rsidRPr="00B84765">
        <w:rPr>
          <w:rFonts w:asciiTheme="minorHAnsi" w:hAnsiTheme="minorHAnsi" w:cstheme="minorHAnsi"/>
          <w:sz w:val="22"/>
          <w:szCs w:val="22"/>
        </w:rPr>
        <w:t xml:space="preserve">, que é de </w:t>
      </w:r>
      <w:r w:rsidRPr="00A11510">
        <w:rPr>
          <w:rFonts w:asciiTheme="minorHAnsi" w:hAnsiTheme="minorHAnsi" w:cstheme="minorHAnsi"/>
          <w:sz w:val="22"/>
          <w:szCs w:val="22"/>
        </w:rPr>
        <w:t xml:space="preserve">R$ </w:t>
      </w:r>
      <w:r>
        <w:rPr>
          <w:rFonts w:asciiTheme="minorHAnsi" w:hAnsiTheme="minorHAnsi" w:cstheme="minorHAnsi"/>
          <w:sz w:val="22"/>
          <w:szCs w:val="22"/>
        </w:rPr>
        <w:t>22.258.459,33</w:t>
      </w:r>
      <w:r w:rsidRPr="00A11510">
        <w:rPr>
          <w:rFonts w:asciiTheme="minorHAnsi" w:hAnsiTheme="minorHAnsi" w:cstheme="minorHAnsi"/>
          <w:sz w:val="22"/>
          <w:szCs w:val="22"/>
        </w:rPr>
        <w:t>.</w:t>
      </w:r>
    </w:p>
    <w:bookmarkStart w:id="2" w:name="_MON_1610779060"/>
    <w:bookmarkEnd w:id="2"/>
    <w:p w:rsidR="001E73E2" w:rsidRPr="00B84765" w:rsidRDefault="001E73E2" w:rsidP="001E73E2">
      <w:pPr>
        <w:pStyle w:val="Default"/>
        <w:spacing w:after="120" w:line="360" w:lineRule="auto"/>
        <w:jc w:val="center"/>
        <w:rPr>
          <w:rFonts w:asciiTheme="minorHAnsi" w:hAnsiTheme="minorHAnsi" w:cstheme="minorHAnsi"/>
          <w:sz w:val="22"/>
          <w:szCs w:val="22"/>
        </w:rPr>
      </w:pPr>
      <w:r w:rsidRPr="00B84765">
        <w:rPr>
          <w:rFonts w:asciiTheme="minorHAnsi" w:hAnsiTheme="minorHAnsi" w:cstheme="minorHAnsi"/>
          <w:sz w:val="22"/>
          <w:szCs w:val="22"/>
        </w:rPr>
        <w:object w:dxaOrig="6250" w:dyaOrig="1181">
          <v:shape id="_x0000_i1026" type="#_x0000_t75" style="width:311.25pt;height:60pt" o:ole="">
            <v:imagedata r:id="rId14" o:title=""/>
          </v:shape>
          <o:OLEObject Type="Embed" ProgID="Excel.Sheet.12" ShapeID="_x0000_i1026" DrawAspect="Content" ObjectID="_1721140166" r:id="rId15"/>
        </w:object>
      </w:r>
    </w:p>
    <w:p w:rsidR="001E73E2" w:rsidRPr="00B84765" w:rsidRDefault="001E73E2" w:rsidP="001E73E2">
      <w:pPr>
        <w:pStyle w:val="Default"/>
        <w:spacing w:after="120" w:line="360" w:lineRule="auto"/>
        <w:jc w:val="both"/>
        <w:rPr>
          <w:rFonts w:asciiTheme="minorHAnsi" w:hAnsiTheme="minorHAnsi" w:cstheme="minorHAnsi"/>
          <w:sz w:val="22"/>
          <w:szCs w:val="22"/>
        </w:rPr>
      </w:pPr>
    </w:p>
    <w:p w:rsidR="001E73E2" w:rsidRPr="00B84765" w:rsidRDefault="001E73E2" w:rsidP="001E73E2">
      <w:pPr>
        <w:spacing w:after="120" w:line="360" w:lineRule="auto"/>
        <w:ind w:firstLine="708"/>
        <w:jc w:val="both"/>
        <w:rPr>
          <w:rFonts w:asciiTheme="minorHAnsi" w:hAnsiTheme="minorHAnsi" w:cstheme="minorHAnsi"/>
          <w:b/>
          <w:sz w:val="22"/>
          <w:szCs w:val="22"/>
        </w:rPr>
      </w:pPr>
      <w:r w:rsidRPr="00B84765">
        <w:rPr>
          <w:rFonts w:asciiTheme="minorHAnsi" w:hAnsiTheme="minorHAnsi" w:cstheme="minorHAnsi"/>
          <w:b/>
          <w:sz w:val="22"/>
          <w:szCs w:val="22"/>
        </w:rPr>
        <w:t>Resultado Orçamentário</w:t>
      </w:r>
    </w:p>
    <w:p w:rsidR="001E73E2" w:rsidRPr="00B84765" w:rsidRDefault="001E73E2" w:rsidP="001E73E2">
      <w:pPr>
        <w:pStyle w:val="Default"/>
        <w:spacing w:after="120" w:line="360" w:lineRule="auto"/>
        <w:ind w:firstLine="708"/>
        <w:rPr>
          <w:rFonts w:asciiTheme="minorHAnsi" w:hAnsiTheme="minorHAnsi" w:cstheme="minorHAnsi"/>
          <w:sz w:val="22"/>
          <w:szCs w:val="22"/>
        </w:rPr>
      </w:pPr>
      <w:r w:rsidRPr="00B84765">
        <w:rPr>
          <w:rFonts w:asciiTheme="minorHAnsi" w:hAnsiTheme="minorHAnsi" w:cstheme="minorHAnsi"/>
          <w:sz w:val="22"/>
          <w:szCs w:val="22"/>
        </w:rPr>
        <w:lastRenderedPageBreak/>
        <w:t xml:space="preserve">Comparando a Receita Arrecadada com a Despesa liquidada </w:t>
      </w:r>
      <w:r>
        <w:rPr>
          <w:rFonts w:asciiTheme="minorHAnsi" w:hAnsiTheme="minorHAnsi" w:cstheme="minorHAnsi"/>
          <w:sz w:val="22"/>
          <w:szCs w:val="22"/>
        </w:rPr>
        <w:t>até maio de 2022</w:t>
      </w:r>
      <w:r w:rsidRPr="00B84765">
        <w:rPr>
          <w:rFonts w:asciiTheme="minorHAnsi" w:hAnsiTheme="minorHAnsi" w:cstheme="minorHAnsi"/>
          <w:sz w:val="22"/>
          <w:szCs w:val="22"/>
        </w:rPr>
        <w:t xml:space="preserve">, constatou-se um </w:t>
      </w:r>
      <w:r w:rsidRPr="00B84765">
        <w:rPr>
          <w:rFonts w:asciiTheme="minorHAnsi" w:hAnsiTheme="minorHAnsi" w:cstheme="minorHAnsi"/>
          <w:bCs/>
          <w:sz w:val="22"/>
          <w:szCs w:val="22"/>
        </w:rPr>
        <w:t>Superávit Orçamentário</w:t>
      </w:r>
      <w:r w:rsidRPr="00B84765">
        <w:rPr>
          <w:rFonts w:asciiTheme="minorHAnsi" w:hAnsiTheme="minorHAnsi" w:cstheme="minorHAnsi"/>
          <w:b/>
          <w:bCs/>
          <w:sz w:val="22"/>
          <w:szCs w:val="22"/>
        </w:rPr>
        <w:t xml:space="preserve"> </w:t>
      </w:r>
      <w:r w:rsidRPr="00B84765">
        <w:rPr>
          <w:rFonts w:asciiTheme="minorHAnsi" w:hAnsiTheme="minorHAnsi" w:cstheme="minorHAnsi"/>
          <w:sz w:val="22"/>
          <w:szCs w:val="22"/>
        </w:rPr>
        <w:t xml:space="preserve">no valor de </w:t>
      </w:r>
      <w:r>
        <w:rPr>
          <w:rFonts w:asciiTheme="minorHAnsi" w:hAnsiTheme="minorHAnsi" w:cstheme="minorHAnsi"/>
          <w:sz w:val="22"/>
          <w:szCs w:val="22"/>
        </w:rPr>
        <w:t>R$ 3.288.355,60</w:t>
      </w:r>
      <w:r w:rsidRPr="00B84765">
        <w:rPr>
          <w:rFonts w:asciiTheme="minorHAnsi" w:hAnsiTheme="minorHAnsi" w:cstheme="minorHAnsi"/>
          <w:sz w:val="22"/>
          <w:szCs w:val="22"/>
        </w:rPr>
        <w:t>.</w:t>
      </w:r>
    </w:p>
    <w:bookmarkStart w:id="3" w:name="_MON_1610780146"/>
    <w:bookmarkEnd w:id="3"/>
    <w:p w:rsidR="001E73E2" w:rsidRPr="00B84765" w:rsidRDefault="001E73E2" w:rsidP="001E73E2">
      <w:pPr>
        <w:spacing w:after="120" w:line="360" w:lineRule="auto"/>
        <w:jc w:val="center"/>
        <w:rPr>
          <w:rFonts w:asciiTheme="minorHAnsi" w:hAnsiTheme="minorHAnsi" w:cstheme="minorHAnsi"/>
          <w:sz w:val="22"/>
          <w:szCs w:val="22"/>
        </w:rPr>
      </w:pPr>
      <w:r w:rsidRPr="00B84765">
        <w:rPr>
          <w:rFonts w:asciiTheme="minorHAnsi" w:hAnsiTheme="minorHAnsi" w:cstheme="minorHAnsi"/>
          <w:sz w:val="22"/>
          <w:szCs w:val="22"/>
        </w:rPr>
        <w:object w:dxaOrig="6926" w:dyaOrig="1908">
          <v:shape id="_x0000_i1027" type="#_x0000_t75" style="width:344.25pt;height:95.25pt" o:ole="">
            <v:imagedata r:id="rId16" o:title=""/>
          </v:shape>
          <o:OLEObject Type="Embed" ProgID="Excel.Sheet.12" ShapeID="_x0000_i1027" DrawAspect="Content" ObjectID="_1721140167" r:id="rId17"/>
        </w:object>
      </w:r>
    </w:p>
    <w:p w:rsidR="001E73E2" w:rsidRPr="00B84765" w:rsidRDefault="001E73E2" w:rsidP="001E73E2">
      <w:pPr>
        <w:spacing w:after="120" w:line="360" w:lineRule="auto"/>
        <w:jc w:val="center"/>
        <w:rPr>
          <w:rFonts w:asciiTheme="minorHAnsi" w:hAnsiTheme="minorHAnsi" w:cstheme="minorHAnsi"/>
          <w:sz w:val="22"/>
          <w:szCs w:val="22"/>
        </w:rPr>
      </w:pPr>
    </w:p>
    <w:p w:rsidR="001E73E2" w:rsidRPr="001D2011" w:rsidRDefault="001E73E2" w:rsidP="001E73E2">
      <w:pPr>
        <w:pStyle w:val="PargrafodaLista"/>
        <w:numPr>
          <w:ilvl w:val="0"/>
          <w:numId w:val="19"/>
        </w:numPr>
        <w:spacing w:after="120" w:line="360" w:lineRule="auto"/>
        <w:contextualSpacing w:val="0"/>
        <w:jc w:val="both"/>
        <w:rPr>
          <w:rFonts w:asciiTheme="minorHAnsi" w:hAnsiTheme="minorHAnsi" w:cstheme="minorHAnsi"/>
          <w:b/>
          <w:sz w:val="22"/>
          <w:szCs w:val="22"/>
        </w:rPr>
      </w:pPr>
      <w:r w:rsidRPr="001D2011">
        <w:rPr>
          <w:rFonts w:asciiTheme="minorHAnsi" w:hAnsiTheme="minorHAnsi" w:cstheme="minorHAnsi"/>
          <w:b/>
          <w:sz w:val="22"/>
          <w:szCs w:val="22"/>
        </w:rPr>
        <w:t>Resultado Patrimonial</w:t>
      </w:r>
    </w:p>
    <w:p w:rsidR="001E73E2" w:rsidRPr="00B84765" w:rsidRDefault="001E73E2" w:rsidP="001E73E2">
      <w:pPr>
        <w:spacing w:after="120" w:line="360" w:lineRule="auto"/>
        <w:ind w:firstLine="708"/>
        <w:jc w:val="both"/>
        <w:rPr>
          <w:rFonts w:asciiTheme="minorHAnsi" w:hAnsiTheme="minorHAnsi" w:cstheme="minorHAnsi"/>
          <w:sz w:val="22"/>
          <w:szCs w:val="22"/>
        </w:rPr>
      </w:pPr>
      <w:r w:rsidRPr="00B84765">
        <w:rPr>
          <w:rFonts w:asciiTheme="minorHAnsi" w:hAnsiTheme="minorHAnsi" w:cstheme="minorHAnsi"/>
          <w:sz w:val="22"/>
          <w:szCs w:val="22"/>
        </w:rPr>
        <w:t xml:space="preserve">Até </w:t>
      </w:r>
      <w:r>
        <w:rPr>
          <w:rFonts w:asciiTheme="minorHAnsi" w:hAnsiTheme="minorHAnsi" w:cstheme="minorHAnsi"/>
          <w:sz w:val="22"/>
          <w:szCs w:val="22"/>
        </w:rPr>
        <w:t>maio de 2022</w:t>
      </w:r>
      <w:r w:rsidRPr="00B84765">
        <w:rPr>
          <w:rFonts w:asciiTheme="minorHAnsi" w:hAnsiTheme="minorHAnsi" w:cstheme="minorHAnsi"/>
          <w:sz w:val="22"/>
          <w:szCs w:val="22"/>
        </w:rPr>
        <w:t xml:space="preserve"> o Superávit Patrimonial foi de </w:t>
      </w:r>
      <w:r>
        <w:rPr>
          <w:rFonts w:asciiTheme="minorHAnsi" w:hAnsiTheme="minorHAnsi" w:cstheme="minorHAnsi"/>
          <w:sz w:val="22"/>
          <w:szCs w:val="22"/>
        </w:rPr>
        <w:t>R$ 3.147.600,86</w:t>
      </w:r>
      <w:r w:rsidRPr="00B84765">
        <w:rPr>
          <w:rFonts w:asciiTheme="minorHAnsi" w:hAnsiTheme="minorHAnsi" w:cstheme="minorHAnsi"/>
          <w:sz w:val="22"/>
          <w:szCs w:val="22"/>
        </w:rPr>
        <w:t>, conforme demonstrado abaixo:</w:t>
      </w:r>
    </w:p>
    <w:bookmarkStart w:id="4" w:name="_MON_1610780873"/>
    <w:bookmarkEnd w:id="4"/>
    <w:p w:rsidR="001E73E2" w:rsidRDefault="001E73E2" w:rsidP="001E73E2">
      <w:pPr>
        <w:spacing w:after="120" w:line="360" w:lineRule="auto"/>
        <w:jc w:val="center"/>
        <w:rPr>
          <w:rFonts w:asciiTheme="minorHAnsi" w:hAnsiTheme="minorHAnsi" w:cstheme="minorHAnsi"/>
          <w:sz w:val="22"/>
          <w:szCs w:val="22"/>
        </w:rPr>
      </w:pPr>
      <w:r w:rsidRPr="00B84765">
        <w:rPr>
          <w:rFonts w:asciiTheme="minorHAnsi" w:hAnsiTheme="minorHAnsi" w:cstheme="minorHAnsi"/>
          <w:sz w:val="22"/>
          <w:szCs w:val="22"/>
        </w:rPr>
        <w:object w:dxaOrig="5573" w:dyaOrig="891">
          <v:shape id="_x0000_i1028" type="#_x0000_t75" style="width:282pt;height:42pt" o:ole="">
            <v:imagedata r:id="rId18" o:title=""/>
          </v:shape>
          <o:OLEObject Type="Embed" ProgID="Excel.Sheet.12" ShapeID="_x0000_i1028" DrawAspect="Content" ObjectID="_1721140168" r:id="rId19"/>
        </w:object>
      </w:r>
    </w:p>
    <w:p w:rsidR="001E73E2" w:rsidRPr="00B84765" w:rsidRDefault="001E73E2" w:rsidP="001E73E2">
      <w:pPr>
        <w:spacing w:after="120" w:line="360" w:lineRule="auto"/>
        <w:jc w:val="center"/>
        <w:rPr>
          <w:rFonts w:asciiTheme="minorHAnsi" w:hAnsiTheme="minorHAnsi" w:cstheme="minorHAnsi"/>
          <w:sz w:val="22"/>
          <w:szCs w:val="22"/>
        </w:rPr>
      </w:pPr>
    </w:p>
    <w:p w:rsidR="001E73E2" w:rsidRPr="00C71A9D" w:rsidRDefault="001E73E2" w:rsidP="001E73E2">
      <w:pPr>
        <w:pStyle w:val="PargrafodaLista"/>
        <w:numPr>
          <w:ilvl w:val="0"/>
          <w:numId w:val="19"/>
        </w:numPr>
        <w:spacing w:after="120" w:line="360" w:lineRule="auto"/>
        <w:contextualSpacing w:val="0"/>
        <w:jc w:val="both"/>
        <w:rPr>
          <w:rFonts w:asciiTheme="minorHAnsi" w:hAnsiTheme="minorHAnsi" w:cstheme="minorHAnsi"/>
          <w:b/>
          <w:sz w:val="22"/>
          <w:szCs w:val="22"/>
        </w:rPr>
      </w:pPr>
      <w:r w:rsidRPr="00C71A9D">
        <w:rPr>
          <w:rFonts w:asciiTheme="minorHAnsi" w:hAnsiTheme="minorHAnsi" w:cstheme="minorHAnsi"/>
          <w:b/>
          <w:sz w:val="22"/>
          <w:szCs w:val="22"/>
        </w:rPr>
        <w:t>Superávit Financeiro</w:t>
      </w:r>
    </w:p>
    <w:p w:rsidR="001E73E2" w:rsidRDefault="001E73E2" w:rsidP="001E73E2">
      <w:pPr>
        <w:pStyle w:val="Default"/>
        <w:spacing w:after="120" w:line="360" w:lineRule="auto"/>
        <w:ind w:firstLine="708"/>
        <w:jc w:val="both"/>
        <w:rPr>
          <w:rFonts w:asciiTheme="minorHAnsi" w:hAnsiTheme="minorHAnsi" w:cstheme="minorHAnsi"/>
          <w:sz w:val="22"/>
          <w:szCs w:val="22"/>
        </w:rPr>
      </w:pPr>
      <w:r w:rsidRPr="00B84765">
        <w:rPr>
          <w:rFonts w:asciiTheme="minorHAnsi" w:hAnsiTheme="minorHAnsi" w:cstheme="minorHAnsi"/>
          <w:sz w:val="22"/>
          <w:szCs w:val="22"/>
        </w:rPr>
        <w:t xml:space="preserve">No Balanço Patrimonial de </w:t>
      </w:r>
      <w:r>
        <w:rPr>
          <w:rFonts w:asciiTheme="minorHAnsi" w:hAnsiTheme="minorHAnsi" w:cstheme="minorHAnsi"/>
          <w:sz w:val="22"/>
          <w:szCs w:val="22"/>
        </w:rPr>
        <w:t xml:space="preserve">maio </w:t>
      </w:r>
      <w:r w:rsidRPr="00B84765">
        <w:rPr>
          <w:rFonts w:asciiTheme="minorHAnsi" w:hAnsiTheme="minorHAnsi" w:cstheme="minorHAnsi"/>
          <w:sz w:val="22"/>
          <w:szCs w:val="22"/>
        </w:rPr>
        <w:t>de 20</w:t>
      </w:r>
      <w:r>
        <w:rPr>
          <w:rFonts w:asciiTheme="minorHAnsi" w:hAnsiTheme="minorHAnsi" w:cstheme="minorHAnsi"/>
          <w:sz w:val="22"/>
          <w:szCs w:val="22"/>
        </w:rPr>
        <w:t>22</w:t>
      </w:r>
      <w:r w:rsidRPr="00B84765">
        <w:rPr>
          <w:rFonts w:asciiTheme="minorHAnsi" w:hAnsiTheme="minorHAnsi" w:cstheme="minorHAnsi"/>
          <w:sz w:val="22"/>
          <w:szCs w:val="22"/>
        </w:rPr>
        <w:t xml:space="preserve"> verificou-se </w:t>
      </w:r>
      <w:r w:rsidRPr="00B84765">
        <w:rPr>
          <w:rFonts w:asciiTheme="minorHAnsi" w:hAnsiTheme="minorHAnsi" w:cstheme="minorHAnsi"/>
          <w:bCs/>
          <w:sz w:val="22"/>
          <w:szCs w:val="22"/>
        </w:rPr>
        <w:t>Superávit Financeiro</w:t>
      </w:r>
      <w:r w:rsidRPr="00B84765">
        <w:rPr>
          <w:rFonts w:asciiTheme="minorHAnsi" w:hAnsiTheme="minorHAnsi" w:cstheme="minorHAnsi"/>
          <w:b/>
          <w:bCs/>
          <w:sz w:val="22"/>
          <w:szCs w:val="22"/>
        </w:rPr>
        <w:t xml:space="preserve"> </w:t>
      </w:r>
      <w:r w:rsidRPr="00B84765">
        <w:rPr>
          <w:rFonts w:asciiTheme="minorHAnsi" w:hAnsiTheme="minorHAnsi" w:cstheme="minorHAnsi"/>
          <w:sz w:val="22"/>
          <w:szCs w:val="22"/>
        </w:rPr>
        <w:t xml:space="preserve">no valor de </w:t>
      </w:r>
      <w:r>
        <w:rPr>
          <w:rFonts w:asciiTheme="minorHAnsi" w:hAnsiTheme="minorHAnsi" w:cstheme="minorHAnsi"/>
          <w:sz w:val="22"/>
          <w:szCs w:val="22"/>
        </w:rPr>
        <w:t>R$ 20.459.349,51.</w:t>
      </w:r>
    </w:p>
    <w:p w:rsidR="001E73E2" w:rsidRPr="00B84765" w:rsidRDefault="001E73E2" w:rsidP="001E73E2">
      <w:pPr>
        <w:pStyle w:val="Default"/>
        <w:spacing w:after="120" w:line="360" w:lineRule="auto"/>
        <w:ind w:firstLine="708"/>
        <w:jc w:val="both"/>
        <w:rPr>
          <w:rFonts w:asciiTheme="minorHAnsi" w:hAnsiTheme="minorHAnsi" w:cstheme="minorHAnsi"/>
          <w:sz w:val="22"/>
          <w:szCs w:val="22"/>
        </w:rPr>
      </w:pPr>
    </w:p>
    <w:p w:rsidR="001E73E2" w:rsidRPr="00B84765" w:rsidRDefault="001E73E2" w:rsidP="001E73E2">
      <w:pPr>
        <w:pStyle w:val="Default"/>
        <w:numPr>
          <w:ilvl w:val="0"/>
          <w:numId w:val="19"/>
        </w:numPr>
        <w:autoSpaceDE w:val="0"/>
        <w:autoSpaceDN w:val="0"/>
        <w:adjustRightInd w:val="0"/>
        <w:spacing w:after="120" w:line="360" w:lineRule="auto"/>
        <w:jc w:val="both"/>
        <w:rPr>
          <w:rFonts w:asciiTheme="minorHAnsi" w:hAnsiTheme="minorHAnsi" w:cstheme="minorHAnsi"/>
          <w:b/>
          <w:sz w:val="22"/>
          <w:szCs w:val="22"/>
        </w:rPr>
      </w:pPr>
      <w:r w:rsidRPr="00B84765">
        <w:rPr>
          <w:rFonts w:asciiTheme="minorHAnsi" w:hAnsiTheme="minorHAnsi" w:cstheme="minorHAnsi"/>
          <w:b/>
          <w:sz w:val="22"/>
          <w:szCs w:val="22"/>
        </w:rPr>
        <w:t>Disponível</w:t>
      </w:r>
    </w:p>
    <w:p w:rsidR="001E73E2" w:rsidRPr="00B84765" w:rsidRDefault="001E73E2" w:rsidP="001E73E2">
      <w:pPr>
        <w:pStyle w:val="Default"/>
        <w:spacing w:after="120" w:line="360" w:lineRule="auto"/>
        <w:ind w:firstLine="708"/>
        <w:jc w:val="both"/>
        <w:rPr>
          <w:rFonts w:asciiTheme="minorHAnsi" w:hAnsiTheme="minorHAnsi" w:cstheme="minorHAnsi"/>
          <w:sz w:val="22"/>
          <w:szCs w:val="22"/>
        </w:rPr>
      </w:pPr>
      <w:r w:rsidRPr="00B84765">
        <w:rPr>
          <w:rFonts w:asciiTheme="minorHAnsi" w:hAnsiTheme="minorHAnsi" w:cstheme="minorHAnsi"/>
          <w:sz w:val="22"/>
          <w:szCs w:val="22"/>
        </w:rPr>
        <w:t xml:space="preserve">O saldo disponível </w:t>
      </w:r>
      <w:r>
        <w:rPr>
          <w:rFonts w:asciiTheme="minorHAnsi" w:hAnsiTheme="minorHAnsi" w:cstheme="minorHAnsi"/>
          <w:sz w:val="22"/>
          <w:szCs w:val="22"/>
        </w:rPr>
        <w:t xml:space="preserve">em maio </w:t>
      </w:r>
      <w:r w:rsidRPr="00B84765">
        <w:rPr>
          <w:rFonts w:asciiTheme="minorHAnsi" w:hAnsiTheme="minorHAnsi" w:cstheme="minorHAnsi"/>
          <w:sz w:val="22"/>
          <w:szCs w:val="22"/>
        </w:rPr>
        <w:t>de 202</w:t>
      </w:r>
      <w:r>
        <w:rPr>
          <w:rFonts w:asciiTheme="minorHAnsi" w:hAnsiTheme="minorHAnsi" w:cstheme="minorHAnsi"/>
          <w:sz w:val="22"/>
          <w:szCs w:val="22"/>
        </w:rPr>
        <w:t>2</w:t>
      </w:r>
      <w:r w:rsidRPr="00B84765">
        <w:rPr>
          <w:rFonts w:asciiTheme="minorHAnsi" w:hAnsiTheme="minorHAnsi" w:cstheme="minorHAnsi"/>
          <w:sz w:val="22"/>
          <w:szCs w:val="22"/>
        </w:rPr>
        <w:t xml:space="preserve"> foi de </w:t>
      </w:r>
      <w:r>
        <w:rPr>
          <w:rFonts w:asciiTheme="minorHAnsi" w:hAnsiTheme="minorHAnsi" w:cstheme="minorHAnsi"/>
          <w:sz w:val="22"/>
          <w:szCs w:val="22"/>
        </w:rPr>
        <w:t>R$ 25.679.604,74</w:t>
      </w:r>
      <w:r w:rsidRPr="00B84765">
        <w:rPr>
          <w:rFonts w:asciiTheme="minorHAnsi" w:hAnsiTheme="minorHAnsi" w:cstheme="minorHAnsi"/>
          <w:sz w:val="22"/>
          <w:szCs w:val="22"/>
        </w:rPr>
        <w:t xml:space="preserve"> conforme abaixo:</w:t>
      </w:r>
    </w:p>
    <w:bookmarkStart w:id="5" w:name="_MON_1610781683"/>
    <w:bookmarkEnd w:id="5"/>
    <w:p w:rsidR="001E73E2" w:rsidRPr="00B84765" w:rsidRDefault="001E73E2" w:rsidP="001E73E2">
      <w:pPr>
        <w:pStyle w:val="Default"/>
        <w:spacing w:after="120" w:line="360" w:lineRule="auto"/>
        <w:jc w:val="center"/>
        <w:rPr>
          <w:rFonts w:asciiTheme="minorHAnsi" w:hAnsiTheme="minorHAnsi" w:cstheme="minorHAnsi"/>
          <w:b/>
          <w:sz w:val="22"/>
          <w:szCs w:val="22"/>
        </w:rPr>
      </w:pPr>
      <w:r w:rsidRPr="00B84765">
        <w:rPr>
          <w:rFonts w:asciiTheme="minorHAnsi" w:hAnsiTheme="minorHAnsi" w:cstheme="minorHAnsi"/>
          <w:b/>
          <w:sz w:val="22"/>
          <w:szCs w:val="22"/>
        </w:rPr>
        <w:object w:dxaOrig="4018" w:dyaOrig="891">
          <v:shape id="_x0000_i1029" type="#_x0000_t75" style="width:198pt;height:42pt" o:ole="">
            <v:imagedata r:id="rId20" o:title=""/>
          </v:shape>
          <o:OLEObject Type="Embed" ProgID="Excel.Sheet.12" ShapeID="_x0000_i1029" DrawAspect="Content" ObjectID="_1721140169" r:id="rId21"/>
        </w:object>
      </w:r>
    </w:p>
    <w:p w:rsidR="001E73E2" w:rsidRPr="00B84765" w:rsidRDefault="001E73E2" w:rsidP="001E73E2">
      <w:pPr>
        <w:spacing w:after="120" w:line="360" w:lineRule="auto"/>
        <w:jc w:val="both"/>
        <w:rPr>
          <w:rFonts w:asciiTheme="minorHAnsi" w:hAnsiTheme="minorHAnsi" w:cstheme="minorHAnsi"/>
          <w:b/>
          <w:sz w:val="22"/>
          <w:szCs w:val="22"/>
        </w:rPr>
      </w:pPr>
    </w:p>
    <w:p w:rsidR="001E73E2" w:rsidRPr="0077763B" w:rsidRDefault="001E73E2" w:rsidP="001E73E2">
      <w:pPr>
        <w:pStyle w:val="PargrafodaLista"/>
        <w:numPr>
          <w:ilvl w:val="0"/>
          <w:numId w:val="19"/>
        </w:numPr>
        <w:spacing w:after="120" w:line="360" w:lineRule="auto"/>
        <w:contextualSpacing w:val="0"/>
        <w:jc w:val="both"/>
        <w:rPr>
          <w:rFonts w:asciiTheme="minorHAnsi" w:hAnsiTheme="minorHAnsi" w:cstheme="minorHAnsi"/>
          <w:b/>
          <w:sz w:val="22"/>
          <w:szCs w:val="22"/>
        </w:rPr>
      </w:pPr>
      <w:r w:rsidRPr="0077763B">
        <w:rPr>
          <w:rFonts w:asciiTheme="minorHAnsi" w:hAnsiTheme="minorHAnsi" w:cstheme="minorHAnsi"/>
          <w:b/>
          <w:sz w:val="22"/>
          <w:szCs w:val="22"/>
        </w:rPr>
        <w:t>Pessoal</w:t>
      </w:r>
    </w:p>
    <w:p w:rsidR="001E73E2" w:rsidRPr="00B84765" w:rsidRDefault="001E73E2" w:rsidP="001E73E2">
      <w:pPr>
        <w:spacing w:after="120" w:line="360" w:lineRule="auto"/>
        <w:ind w:firstLine="708"/>
        <w:jc w:val="both"/>
        <w:rPr>
          <w:rFonts w:asciiTheme="minorHAnsi" w:hAnsiTheme="minorHAnsi" w:cstheme="minorHAnsi"/>
          <w:sz w:val="22"/>
          <w:szCs w:val="22"/>
        </w:rPr>
      </w:pPr>
      <w:r w:rsidRPr="00B84765">
        <w:rPr>
          <w:rFonts w:asciiTheme="minorHAnsi" w:hAnsiTheme="minorHAnsi" w:cstheme="minorHAnsi"/>
          <w:sz w:val="22"/>
          <w:szCs w:val="22"/>
        </w:rPr>
        <w:t xml:space="preserve">O pagamento de pessoal em </w:t>
      </w:r>
      <w:r>
        <w:rPr>
          <w:rFonts w:asciiTheme="minorHAnsi" w:hAnsiTheme="minorHAnsi" w:cstheme="minorHAnsi"/>
          <w:sz w:val="22"/>
          <w:szCs w:val="22"/>
        </w:rPr>
        <w:t>maio</w:t>
      </w:r>
      <w:r w:rsidRPr="00B84765">
        <w:rPr>
          <w:rFonts w:asciiTheme="minorHAnsi" w:hAnsiTheme="minorHAnsi" w:cstheme="minorHAnsi"/>
          <w:sz w:val="22"/>
          <w:szCs w:val="22"/>
        </w:rPr>
        <w:t xml:space="preserve"> de 20</w:t>
      </w:r>
      <w:r>
        <w:rPr>
          <w:rFonts w:asciiTheme="minorHAnsi" w:hAnsiTheme="minorHAnsi" w:cstheme="minorHAnsi"/>
          <w:sz w:val="22"/>
          <w:szCs w:val="22"/>
        </w:rPr>
        <w:t>22</w:t>
      </w:r>
      <w:r w:rsidRPr="00B84765">
        <w:rPr>
          <w:rFonts w:asciiTheme="minorHAnsi" w:hAnsiTheme="minorHAnsi" w:cstheme="minorHAnsi"/>
          <w:sz w:val="22"/>
          <w:szCs w:val="22"/>
        </w:rPr>
        <w:t xml:space="preserve"> totalizou </w:t>
      </w:r>
      <w:r>
        <w:rPr>
          <w:rFonts w:asciiTheme="minorHAnsi" w:hAnsiTheme="minorHAnsi" w:cstheme="minorHAnsi"/>
          <w:sz w:val="22"/>
          <w:szCs w:val="22"/>
        </w:rPr>
        <w:t>R$ 1.166.078,29</w:t>
      </w:r>
      <w:r w:rsidRPr="00B84765">
        <w:rPr>
          <w:rFonts w:asciiTheme="minorHAnsi" w:hAnsiTheme="minorHAnsi" w:cstheme="minorHAnsi"/>
          <w:sz w:val="22"/>
          <w:szCs w:val="22"/>
        </w:rPr>
        <w:t xml:space="preserve"> conforme abaixo:</w:t>
      </w:r>
    </w:p>
    <w:bookmarkStart w:id="6" w:name="_MON_1611642722"/>
    <w:bookmarkEnd w:id="6"/>
    <w:p w:rsidR="001E73E2" w:rsidRPr="00B84765" w:rsidRDefault="001E73E2" w:rsidP="001E73E2">
      <w:pPr>
        <w:spacing w:after="120" w:line="360" w:lineRule="auto"/>
        <w:jc w:val="center"/>
        <w:rPr>
          <w:rFonts w:asciiTheme="minorHAnsi" w:hAnsiTheme="minorHAnsi" w:cstheme="minorHAnsi"/>
          <w:sz w:val="22"/>
          <w:szCs w:val="22"/>
        </w:rPr>
      </w:pPr>
      <w:r w:rsidRPr="00B84765">
        <w:rPr>
          <w:rFonts w:asciiTheme="minorHAnsi" w:hAnsiTheme="minorHAnsi" w:cstheme="minorHAnsi"/>
          <w:sz w:val="22"/>
          <w:szCs w:val="22"/>
        </w:rPr>
        <w:object w:dxaOrig="3917" w:dyaOrig="1181">
          <v:shape id="_x0000_i1030" type="#_x0000_t75" style="width:197.25pt;height:60pt" o:ole="">
            <v:imagedata r:id="rId22" o:title=""/>
          </v:shape>
          <o:OLEObject Type="Embed" ProgID="Excel.Sheet.12" ShapeID="_x0000_i1030" DrawAspect="Content" ObjectID="_1721140170" r:id="rId23"/>
        </w:object>
      </w:r>
    </w:p>
    <w:p w:rsidR="001E73E2" w:rsidRPr="00B84765" w:rsidRDefault="001E73E2" w:rsidP="001E73E2">
      <w:pPr>
        <w:spacing w:after="120" w:line="360" w:lineRule="auto"/>
        <w:ind w:firstLine="708"/>
        <w:jc w:val="both"/>
        <w:rPr>
          <w:rFonts w:asciiTheme="minorHAnsi" w:hAnsiTheme="minorHAnsi" w:cstheme="minorHAnsi"/>
          <w:sz w:val="22"/>
          <w:szCs w:val="22"/>
        </w:rPr>
      </w:pPr>
      <w:r w:rsidRPr="00B84765">
        <w:rPr>
          <w:rFonts w:asciiTheme="minorHAnsi" w:hAnsiTheme="minorHAnsi" w:cstheme="minorHAnsi"/>
          <w:sz w:val="22"/>
          <w:szCs w:val="22"/>
        </w:rPr>
        <w:lastRenderedPageBreak/>
        <w:t>O comprometimento da receita com a folha de pagamento, desconsiderando os benefícios conforme as diretrizes orçamentárias do CAU/BR foi de:</w:t>
      </w:r>
    </w:p>
    <w:bookmarkStart w:id="7" w:name="_MON_1610784348"/>
    <w:bookmarkEnd w:id="7"/>
    <w:p w:rsidR="001E73E2" w:rsidRDefault="001E73E2" w:rsidP="001E73E2">
      <w:pPr>
        <w:spacing w:after="120" w:line="360" w:lineRule="auto"/>
        <w:jc w:val="center"/>
        <w:rPr>
          <w:rFonts w:asciiTheme="minorHAnsi" w:hAnsiTheme="minorHAnsi" w:cstheme="minorHAnsi"/>
          <w:sz w:val="22"/>
          <w:szCs w:val="22"/>
        </w:rPr>
      </w:pPr>
      <w:r w:rsidRPr="00B84765">
        <w:rPr>
          <w:rFonts w:asciiTheme="minorHAnsi" w:hAnsiTheme="minorHAnsi" w:cstheme="minorHAnsi"/>
          <w:sz w:val="22"/>
          <w:szCs w:val="22"/>
        </w:rPr>
        <w:object w:dxaOrig="7853" w:dyaOrig="1762">
          <v:shape id="_x0000_i1031" type="#_x0000_t75" style="width:396pt;height:90pt" o:ole="">
            <v:imagedata r:id="rId24" o:title=""/>
          </v:shape>
          <o:OLEObject Type="Embed" ProgID="Excel.Sheet.12" ShapeID="_x0000_i1031" DrawAspect="Content" ObjectID="_1721140171" r:id="rId25"/>
        </w:object>
      </w:r>
    </w:p>
    <w:tbl>
      <w:tblPr>
        <w:tblW w:w="8981" w:type="dxa"/>
        <w:tblCellMar>
          <w:left w:w="70" w:type="dxa"/>
          <w:right w:w="70" w:type="dxa"/>
        </w:tblCellMar>
        <w:tblLook w:val="04A0" w:firstRow="1" w:lastRow="0" w:firstColumn="1" w:lastColumn="0" w:noHBand="0" w:noVBand="1"/>
      </w:tblPr>
      <w:tblGrid>
        <w:gridCol w:w="807"/>
        <w:gridCol w:w="1465"/>
        <w:gridCol w:w="1465"/>
        <w:gridCol w:w="1465"/>
        <w:gridCol w:w="1465"/>
        <w:gridCol w:w="1465"/>
        <w:gridCol w:w="849"/>
      </w:tblGrid>
      <w:tr w:rsidR="001E73E2" w:rsidRPr="0005451D" w:rsidTr="008F0EC0">
        <w:trPr>
          <w:trHeight w:val="176"/>
        </w:trPr>
        <w:tc>
          <w:tcPr>
            <w:tcW w:w="8981"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Pessoal e Encargos</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Mês</w:t>
            </w:r>
          </w:p>
        </w:tc>
        <w:tc>
          <w:tcPr>
            <w:tcW w:w="1465" w:type="dxa"/>
            <w:tcBorders>
              <w:top w:val="nil"/>
              <w:left w:val="nil"/>
              <w:bottom w:val="single" w:sz="4" w:space="0" w:color="auto"/>
              <w:right w:val="single" w:sz="4" w:space="0" w:color="auto"/>
            </w:tcBorders>
            <w:shd w:val="clear" w:color="auto" w:fill="auto"/>
            <w:noWrap/>
            <w:vAlign w:val="center"/>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2018</w:t>
            </w:r>
          </w:p>
        </w:tc>
        <w:tc>
          <w:tcPr>
            <w:tcW w:w="1465" w:type="dxa"/>
            <w:tcBorders>
              <w:top w:val="nil"/>
              <w:left w:val="nil"/>
              <w:bottom w:val="single" w:sz="4" w:space="0" w:color="auto"/>
              <w:right w:val="single" w:sz="4" w:space="0" w:color="auto"/>
            </w:tcBorders>
            <w:shd w:val="clear" w:color="auto" w:fill="auto"/>
            <w:noWrap/>
            <w:vAlign w:val="center"/>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2019</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2020</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2021</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2022</w:t>
            </w:r>
          </w:p>
        </w:tc>
        <w:tc>
          <w:tcPr>
            <w:tcW w:w="848" w:type="dxa"/>
            <w:tcBorders>
              <w:top w:val="nil"/>
              <w:left w:val="nil"/>
              <w:bottom w:val="single" w:sz="4" w:space="0" w:color="auto"/>
              <w:right w:val="single" w:sz="4" w:space="0" w:color="auto"/>
            </w:tcBorders>
            <w:shd w:val="clear" w:color="auto" w:fill="auto"/>
            <w:noWrap/>
            <w:vAlign w:val="center"/>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Jan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405.249,05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479.761,24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551.457,53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553.591,45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656.652,50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18,62%</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Fev</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398.842,24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487.449,17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558.679,12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570.442,93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698.307,37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22,41%</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Mar</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422.578,53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496.260,35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536.324,15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532.505,14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667.893,81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25,42%</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Abr</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447.461,54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572.845,98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524.573,83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597.168,56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654.655,16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9,63%</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Mai</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456.311,80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522.025,68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625.447,91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777.167,19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1.024.891,24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31,88%</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Jun</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486.025,40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555.844,60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531.577,55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612.869,77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Jul</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478.336,35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530.823,43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536.649,98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588.370,38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Ago</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580.821,29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506.143,33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526.926,50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609.574,54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Set</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484.867,84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504.040,75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537.298,68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624.602,25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Out</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477.914,81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475.635,67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548.556,49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647.380,10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Nov</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481.827,85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518.986,37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539.790,27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625.069,51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Dez</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906.694,59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980.161,97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1.082.400,49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1.206.816,78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Jan-Mai</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2.130.443,16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2.558.342,42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2.796.482,54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3.030.875,27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3.702.400,08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22,16%</w:t>
            </w:r>
          </w:p>
        </w:tc>
      </w:tr>
      <w:tr w:rsidR="001E73E2" w:rsidRPr="0005451D" w:rsidTr="008F0EC0">
        <w:trPr>
          <w:trHeight w:val="176"/>
        </w:trPr>
        <w:tc>
          <w:tcPr>
            <w:tcW w:w="807" w:type="dxa"/>
            <w:tcBorders>
              <w:top w:val="nil"/>
              <w:left w:val="nil"/>
              <w:bottom w:val="nil"/>
              <w:right w:val="nil"/>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
        </w:tc>
        <w:tc>
          <w:tcPr>
            <w:tcW w:w="1465" w:type="dxa"/>
            <w:tcBorders>
              <w:top w:val="nil"/>
              <w:left w:val="nil"/>
              <w:bottom w:val="nil"/>
              <w:right w:val="nil"/>
            </w:tcBorders>
            <w:shd w:val="clear" w:color="auto" w:fill="auto"/>
            <w:noWrap/>
            <w:vAlign w:val="bottom"/>
            <w:hideMark/>
          </w:tcPr>
          <w:p w:rsidR="001E73E2" w:rsidRPr="0005451D" w:rsidRDefault="001E73E2" w:rsidP="008F0EC0"/>
        </w:tc>
        <w:tc>
          <w:tcPr>
            <w:tcW w:w="1465" w:type="dxa"/>
            <w:tcBorders>
              <w:top w:val="nil"/>
              <w:left w:val="nil"/>
              <w:bottom w:val="nil"/>
              <w:right w:val="nil"/>
            </w:tcBorders>
            <w:shd w:val="clear" w:color="auto" w:fill="auto"/>
            <w:noWrap/>
            <w:vAlign w:val="bottom"/>
            <w:hideMark/>
          </w:tcPr>
          <w:p w:rsidR="001E73E2" w:rsidRPr="0005451D" w:rsidRDefault="001E73E2" w:rsidP="008F0EC0"/>
        </w:tc>
        <w:tc>
          <w:tcPr>
            <w:tcW w:w="1465" w:type="dxa"/>
            <w:tcBorders>
              <w:top w:val="nil"/>
              <w:left w:val="nil"/>
              <w:bottom w:val="nil"/>
              <w:right w:val="nil"/>
            </w:tcBorders>
            <w:shd w:val="clear" w:color="auto" w:fill="auto"/>
            <w:noWrap/>
            <w:vAlign w:val="bottom"/>
            <w:hideMark/>
          </w:tcPr>
          <w:p w:rsidR="001E73E2" w:rsidRPr="0005451D" w:rsidRDefault="001E73E2" w:rsidP="008F0EC0"/>
        </w:tc>
        <w:tc>
          <w:tcPr>
            <w:tcW w:w="1465" w:type="dxa"/>
            <w:tcBorders>
              <w:top w:val="nil"/>
              <w:left w:val="nil"/>
              <w:bottom w:val="nil"/>
              <w:right w:val="nil"/>
            </w:tcBorders>
            <w:shd w:val="clear" w:color="auto" w:fill="auto"/>
            <w:noWrap/>
            <w:vAlign w:val="bottom"/>
            <w:hideMark/>
          </w:tcPr>
          <w:p w:rsidR="001E73E2" w:rsidRPr="0005451D" w:rsidRDefault="001E73E2" w:rsidP="008F0EC0"/>
        </w:tc>
        <w:tc>
          <w:tcPr>
            <w:tcW w:w="1465" w:type="dxa"/>
            <w:tcBorders>
              <w:top w:val="nil"/>
              <w:left w:val="nil"/>
              <w:bottom w:val="nil"/>
              <w:right w:val="nil"/>
            </w:tcBorders>
            <w:shd w:val="clear" w:color="auto" w:fill="auto"/>
            <w:noWrap/>
            <w:vAlign w:val="bottom"/>
            <w:hideMark/>
          </w:tcPr>
          <w:p w:rsidR="001E73E2" w:rsidRPr="0005451D" w:rsidRDefault="001E73E2" w:rsidP="008F0EC0"/>
        </w:tc>
        <w:tc>
          <w:tcPr>
            <w:tcW w:w="848" w:type="dxa"/>
            <w:tcBorders>
              <w:top w:val="nil"/>
              <w:left w:val="nil"/>
              <w:bottom w:val="nil"/>
              <w:right w:val="nil"/>
            </w:tcBorders>
            <w:shd w:val="clear" w:color="auto" w:fill="auto"/>
            <w:noWrap/>
            <w:vAlign w:val="bottom"/>
            <w:hideMark/>
          </w:tcPr>
          <w:p w:rsidR="001E73E2" w:rsidRPr="0005451D" w:rsidRDefault="001E73E2" w:rsidP="008F0EC0"/>
        </w:tc>
      </w:tr>
      <w:tr w:rsidR="001E73E2" w:rsidRPr="0005451D" w:rsidTr="008F0EC0">
        <w:trPr>
          <w:trHeight w:val="176"/>
        </w:trPr>
        <w:tc>
          <w:tcPr>
            <w:tcW w:w="8981"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Benefícios</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Mês</w:t>
            </w:r>
          </w:p>
        </w:tc>
        <w:tc>
          <w:tcPr>
            <w:tcW w:w="1465" w:type="dxa"/>
            <w:tcBorders>
              <w:top w:val="nil"/>
              <w:left w:val="nil"/>
              <w:bottom w:val="single" w:sz="4" w:space="0" w:color="auto"/>
              <w:right w:val="single" w:sz="4" w:space="0" w:color="auto"/>
            </w:tcBorders>
            <w:shd w:val="clear" w:color="auto" w:fill="auto"/>
            <w:noWrap/>
            <w:vAlign w:val="center"/>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2018</w:t>
            </w:r>
          </w:p>
        </w:tc>
        <w:tc>
          <w:tcPr>
            <w:tcW w:w="1465" w:type="dxa"/>
            <w:tcBorders>
              <w:top w:val="nil"/>
              <w:left w:val="nil"/>
              <w:bottom w:val="single" w:sz="4" w:space="0" w:color="auto"/>
              <w:right w:val="single" w:sz="4" w:space="0" w:color="auto"/>
            </w:tcBorders>
            <w:shd w:val="clear" w:color="auto" w:fill="auto"/>
            <w:noWrap/>
            <w:vAlign w:val="center"/>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2019</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2020</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2021</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2022</w:t>
            </w:r>
          </w:p>
        </w:tc>
        <w:tc>
          <w:tcPr>
            <w:tcW w:w="848" w:type="dxa"/>
            <w:tcBorders>
              <w:top w:val="nil"/>
              <w:left w:val="nil"/>
              <w:bottom w:val="single" w:sz="4" w:space="0" w:color="auto"/>
              <w:right w:val="single" w:sz="4" w:space="0" w:color="auto"/>
            </w:tcBorders>
            <w:shd w:val="clear" w:color="auto" w:fill="auto"/>
            <w:noWrap/>
            <w:vAlign w:val="center"/>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Jan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61.981,12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94.697,80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110.703,29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100.244,16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174.089,95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73,67%</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Fev</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53.951,06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42.921,74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89.852,04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92.789,58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138.221,56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48,96%</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Mar</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64.161,37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69.278,94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111.807,26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92.525,19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140.680,63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52,05%</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Abr</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65.351,43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146.325,43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95.178,82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92.888,53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143.253,98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54,22%</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Mai</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63.493,50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95.436,76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90.913,46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95.218,88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141.186,85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48,28%</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Jun</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64.237,69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93.776,36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104.682,53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115.819,88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Jul</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64.252,55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100.230,76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82.696,05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98.862,01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Ago</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73.136,25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101.355,12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91.263,13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100.576,59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Set</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62.143,45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99.039,83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91.617,91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181.642,45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Out</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70.053,38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99.300,16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89.797,37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111.345,34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Nov</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66.624,81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105.639,49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90.641,98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116.198,43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Dez</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107.754,27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153.785,26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217.606,47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120.383,58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Jan-Mai</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308.938,48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448.660,67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498.454,87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473.666,34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737.432,97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55,69%</w:t>
            </w:r>
          </w:p>
        </w:tc>
      </w:tr>
      <w:tr w:rsidR="001E73E2" w:rsidRPr="0005451D" w:rsidTr="008F0EC0">
        <w:trPr>
          <w:trHeight w:val="176"/>
        </w:trPr>
        <w:tc>
          <w:tcPr>
            <w:tcW w:w="807" w:type="dxa"/>
            <w:tcBorders>
              <w:top w:val="nil"/>
              <w:left w:val="nil"/>
              <w:bottom w:val="nil"/>
              <w:right w:val="nil"/>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
        </w:tc>
        <w:tc>
          <w:tcPr>
            <w:tcW w:w="1465" w:type="dxa"/>
            <w:tcBorders>
              <w:top w:val="nil"/>
              <w:left w:val="nil"/>
              <w:bottom w:val="nil"/>
              <w:right w:val="nil"/>
            </w:tcBorders>
            <w:shd w:val="clear" w:color="auto" w:fill="auto"/>
            <w:noWrap/>
            <w:vAlign w:val="bottom"/>
            <w:hideMark/>
          </w:tcPr>
          <w:p w:rsidR="001E73E2" w:rsidRPr="0005451D" w:rsidRDefault="001E73E2" w:rsidP="008F0EC0"/>
        </w:tc>
        <w:tc>
          <w:tcPr>
            <w:tcW w:w="1465" w:type="dxa"/>
            <w:tcBorders>
              <w:top w:val="nil"/>
              <w:left w:val="nil"/>
              <w:bottom w:val="nil"/>
              <w:right w:val="nil"/>
            </w:tcBorders>
            <w:shd w:val="clear" w:color="auto" w:fill="auto"/>
            <w:noWrap/>
            <w:vAlign w:val="bottom"/>
            <w:hideMark/>
          </w:tcPr>
          <w:p w:rsidR="001E73E2" w:rsidRPr="0005451D" w:rsidRDefault="001E73E2" w:rsidP="008F0EC0"/>
        </w:tc>
        <w:tc>
          <w:tcPr>
            <w:tcW w:w="1465" w:type="dxa"/>
            <w:tcBorders>
              <w:top w:val="nil"/>
              <w:left w:val="nil"/>
              <w:bottom w:val="nil"/>
              <w:right w:val="nil"/>
            </w:tcBorders>
            <w:shd w:val="clear" w:color="auto" w:fill="auto"/>
            <w:noWrap/>
            <w:vAlign w:val="bottom"/>
            <w:hideMark/>
          </w:tcPr>
          <w:p w:rsidR="001E73E2" w:rsidRPr="0005451D" w:rsidRDefault="001E73E2" w:rsidP="008F0EC0"/>
        </w:tc>
        <w:tc>
          <w:tcPr>
            <w:tcW w:w="1465" w:type="dxa"/>
            <w:tcBorders>
              <w:top w:val="nil"/>
              <w:left w:val="nil"/>
              <w:bottom w:val="nil"/>
              <w:right w:val="nil"/>
            </w:tcBorders>
            <w:shd w:val="clear" w:color="auto" w:fill="auto"/>
            <w:noWrap/>
            <w:vAlign w:val="bottom"/>
            <w:hideMark/>
          </w:tcPr>
          <w:p w:rsidR="001E73E2" w:rsidRPr="0005451D" w:rsidRDefault="001E73E2" w:rsidP="008F0EC0"/>
        </w:tc>
        <w:tc>
          <w:tcPr>
            <w:tcW w:w="1465" w:type="dxa"/>
            <w:tcBorders>
              <w:top w:val="nil"/>
              <w:left w:val="nil"/>
              <w:bottom w:val="nil"/>
              <w:right w:val="nil"/>
            </w:tcBorders>
            <w:shd w:val="clear" w:color="auto" w:fill="auto"/>
            <w:noWrap/>
            <w:vAlign w:val="bottom"/>
            <w:hideMark/>
          </w:tcPr>
          <w:p w:rsidR="001E73E2" w:rsidRPr="0005451D" w:rsidRDefault="001E73E2" w:rsidP="008F0EC0"/>
        </w:tc>
        <w:tc>
          <w:tcPr>
            <w:tcW w:w="848" w:type="dxa"/>
            <w:tcBorders>
              <w:top w:val="nil"/>
              <w:left w:val="nil"/>
              <w:bottom w:val="nil"/>
              <w:right w:val="nil"/>
            </w:tcBorders>
            <w:shd w:val="clear" w:color="auto" w:fill="auto"/>
            <w:noWrap/>
            <w:vAlign w:val="bottom"/>
            <w:hideMark/>
          </w:tcPr>
          <w:p w:rsidR="001E73E2" w:rsidRPr="0005451D" w:rsidRDefault="001E73E2" w:rsidP="008F0EC0"/>
        </w:tc>
      </w:tr>
      <w:tr w:rsidR="001E73E2" w:rsidRPr="0005451D" w:rsidTr="008F0EC0">
        <w:trPr>
          <w:trHeight w:val="176"/>
        </w:trPr>
        <w:tc>
          <w:tcPr>
            <w:tcW w:w="8981"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Total</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Mês</w:t>
            </w:r>
          </w:p>
        </w:tc>
        <w:tc>
          <w:tcPr>
            <w:tcW w:w="1465" w:type="dxa"/>
            <w:tcBorders>
              <w:top w:val="nil"/>
              <w:left w:val="nil"/>
              <w:bottom w:val="single" w:sz="4" w:space="0" w:color="auto"/>
              <w:right w:val="single" w:sz="4" w:space="0" w:color="auto"/>
            </w:tcBorders>
            <w:shd w:val="clear" w:color="auto" w:fill="auto"/>
            <w:noWrap/>
            <w:vAlign w:val="center"/>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2018</w:t>
            </w:r>
          </w:p>
        </w:tc>
        <w:tc>
          <w:tcPr>
            <w:tcW w:w="1465" w:type="dxa"/>
            <w:tcBorders>
              <w:top w:val="nil"/>
              <w:left w:val="nil"/>
              <w:bottom w:val="single" w:sz="4" w:space="0" w:color="auto"/>
              <w:right w:val="single" w:sz="4" w:space="0" w:color="auto"/>
            </w:tcBorders>
            <w:shd w:val="clear" w:color="auto" w:fill="auto"/>
            <w:noWrap/>
            <w:vAlign w:val="center"/>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2019</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2020</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2021</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2022</w:t>
            </w:r>
          </w:p>
        </w:tc>
        <w:tc>
          <w:tcPr>
            <w:tcW w:w="848" w:type="dxa"/>
            <w:tcBorders>
              <w:top w:val="nil"/>
              <w:left w:val="nil"/>
              <w:bottom w:val="single" w:sz="4" w:space="0" w:color="auto"/>
              <w:right w:val="single" w:sz="4" w:space="0" w:color="auto"/>
            </w:tcBorders>
            <w:shd w:val="clear" w:color="auto" w:fill="auto"/>
            <w:noWrap/>
            <w:vAlign w:val="center"/>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 xml:space="preserve">Jan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467.230,17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574.459,04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662.160,82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653.835,61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830.742,45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27,06%</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Fev</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452.793,30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530.370,91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648.531,16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663.232,51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836.528,93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26,13%</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lastRenderedPageBreak/>
              <w:t>Mar</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486.739,90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565.539,29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648.131,41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625.030,33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808.574,44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29,37%</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Abr</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512.812,97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719.171,41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619.752,65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690.057,09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797.909,14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15,63%</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Mai</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519.805,30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617.462,44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716.361,37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872.386,07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1.166.078,09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Jun</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550.263,09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649.620,96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636.260,08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728.689,65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Jul</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542.588,90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631.054,19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619.346,03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687.232,39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Ago</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653.957,54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607.498,45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618.189,63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710.151,13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Set</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547.011,29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603.080,58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628.916,59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806.244,70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Out</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547.968,19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574.935,83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638.353,86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758.725,44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proofErr w:type="spellStart"/>
            <w:r w:rsidRPr="0005451D">
              <w:rPr>
                <w:rFonts w:ascii="Calibri" w:hAnsi="Calibri" w:cs="Calibri"/>
                <w:color w:val="000000"/>
                <w:sz w:val="22"/>
                <w:szCs w:val="22"/>
              </w:rPr>
              <w:t>Nov</w:t>
            </w:r>
            <w:proofErr w:type="spellEnd"/>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548.452,66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624.625,86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630.432,25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741.267,94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Dez</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1.014.448,86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1.133.947,23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1.300.006,96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1.327.200,36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0,00%</w:t>
            </w:r>
          </w:p>
        </w:tc>
      </w:tr>
      <w:tr w:rsidR="001E73E2" w:rsidRPr="0005451D" w:rsidTr="008F0EC0">
        <w:trPr>
          <w:trHeight w:val="17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Jan-Mai</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2.439.381,64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3.007.003,09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3.294.937,41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3.504.541,61 </w:t>
            </w:r>
          </w:p>
        </w:tc>
        <w:tc>
          <w:tcPr>
            <w:tcW w:w="1465"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rPr>
                <w:rFonts w:ascii="Calibri" w:hAnsi="Calibri" w:cs="Calibri"/>
                <w:color w:val="000000"/>
                <w:sz w:val="22"/>
                <w:szCs w:val="22"/>
              </w:rPr>
            </w:pPr>
            <w:r w:rsidRPr="0005451D">
              <w:rPr>
                <w:rFonts w:ascii="Calibri" w:hAnsi="Calibri" w:cs="Calibri"/>
                <w:color w:val="000000"/>
                <w:sz w:val="22"/>
                <w:szCs w:val="22"/>
              </w:rPr>
              <w:t xml:space="preserve">  4.439.833,05 </w:t>
            </w:r>
          </w:p>
        </w:tc>
        <w:tc>
          <w:tcPr>
            <w:tcW w:w="848" w:type="dxa"/>
            <w:tcBorders>
              <w:top w:val="nil"/>
              <w:left w:val="nil"/>
              <w:bottom w:val="single" w:sz="4" w:space="0" w:color="auto"/>
              <w:right w:val="single" w:sz="4" w:space="0" w:color="auto"/>
            </w:tcBorders>
            <w:shd w:val="clear" w:color="auto" w:fill="auto"/>
            <w:noWrap/>
            <w:vAlign w:val="bottom"/>
            <w:hideMark/>
          </w:tcPr>
          <w:p w:rsidR="001E73E2" w:rsidRPr="0005451D" w:rsidRDefault="001E73E2" w:rsidP="008F0EC0">
            <w:pPr>
              <w:jc w:val="center"/>
              <w:rPr>
                <w:rFonts w:ascii="Calibri" w:hAnsi="Calibri" w:cs="Calibri"/>
                <w:color w:val="000000"/>
                <w:sz w:val="22"/>
                <w:szCs w:val="22"/>
              </w:rPr>
            </w:pPr>
            <w:r w:rsidRPr="0005451D">
              <w:rPr>
                <w:rFonts w:ascii="Calibri" w:hAnsi="Calibri" w:cs="Calibri"/>
                <w:color w:val="000000"/>
                <w:sz w:val="22"/>
                <w:szCs w:val="22"/>
              </w:rPr>
              <w:t>26,69%</w:t>
            </w:r>
          </w:p>
        </w:tc>
      </w:tr>
    </w:tbl>
    <w:p w:rsidR="001E73E2" w:rsidRDefault="001E73E2" w:rsidP="001E73E2">
      <w:pPr>
        <w:spacing w:after="120" w:line="360" w:lineRule="auto"/>
        <w:jc w:val="center"/>
        <w:rPr>
          <w:rFonts w:asciiTheme="minorHAnsi" w:hAnsiTheme="minorHAnsi" w:cstheme="minorHAnsi"/>
          <w:sz w:val="22"/>
          <w:szCs w:val="22"/>
        </w:rPr>
      </w:pPr>
    </w:p>
    <w:p w:rsidR="001E73E2" w:rsidRPr="00C00402" w:rsidRDefault="001E73E2" w:rsidP="001E73E2">
      <w:pPr>
        <w:pStyle w:val="PargrafodaLista"/>
        <w:numPr>
          <w:ilvl w:val="0"/>
          <w:numId w:val="19"/>
        </w:numPr>
        <w:spacing w:after="120" w:line="360" w:lineRule="auto"/>
        <w:contextualSpacing w:val="0"/>
        <w:jc w:val="both"/>
        <w:rPr>
          <w:rFonts w:asciiTheme="minorHAnsi" w:hAnsiTheme="minorHAnsi" w:cstheme="minorHAnsi"/>
          <w:b/>
          <w:sz w:val="22"/>
          <w:szCs w:val="22"/>
        </w:rPr>
      </w:pPr>
      <w:r w:rsidRPr="00C00402">
        <w:rPr>
          <w:rFonts w:asciiTheme="minorHAnsi" w:hAnsiTheme="minorHAnsi" w:cstheme="minorHAnsi"/>
          <w:b/>
          <w:sz w:val="22"/>
          <w:szCs w:val="22"/>
        </w:rPr>
        <w:t>Créditos a receber</w:t>
      </w:r>
    </w:p>
    <w:p w:rsidR="001E73E2" w:rsidRPr="00B84765" w:rsidRDefault="001E73E2" w:rsidP="001E73E2">
      <w:pPr>
        <w:spacing w:after="120" w:line="360" w:lineRule="auto"/>
        <w:ind w:firstLine="708"/>
        <w:jc w:val="both"/>
        <w:rPr>
          <w:rFonts w:asciiTheme="minorHAnsi" w:hAnsiTheme="minorHAnsi" w:cstheme="minorHAnsi"/>
          <w:sz w:val="22"/>
          <w:szCs w:val="22"/>
        </w:rPr>
      </w:pPr>
      <w:r w:rsidRPr="00B84765">
        <w:rPr>
          <w:rFonts w:asciiTheme="minorHAnsi" w:hAnsiTheme="minorHAnsi" w:cstheme="minorHAnsi"/>
          <w:sz w:val="22"/>
          <w:szCs w:val="22"/>
        </w:rPr>
        <w:t>Abaixo quadro com os valores a receber de anuidades:</w:t>
      </w:r>
    </w:p>
    <w:bookmarkStart w:id="8" w:name="_MON_1610784808"/>
    <w:bookmarkEnd w:id="8"/>
    <w:p w:rsidR="001E73E2" w:rsidRDefault="001E73E2" w:rsidP="001E73E2">
      <w:pPr>
        <w:spacing w:after="120" w:line="360" w:lineRule="auto"/>
        <w:jc w:val="center"/>
        <w:rPr>
          <w:rFonts w:asciiTheme="minorHAnsi" w:hAnsiTheme="minorHAnsi" w:cstheme="minorHAnsi"/>
          <w:b/>
          <w:sz w:val="22"/>
          <w:szCs w:val="22"/>
        </w:rPr>
      </w:pPr>
      <w:r w:rsidRPr="00B84765">
        <w:rPr>
          <w:rFonts w:asciiTheme="minorHAnsi" w:hAnsiTheme="minorHAnsi" w:cstheme="minorHAnsi"/>
          <w:b/>
          <w:sz w:val="22"/>
          <w:szCs w:val="22"/>
        </w:rPr>
        <w:object w:dxaOrig="7925" w:dyaOrig="4376">
          <v:shape id="_x0000_i1032" type="#_x0000_t75" style="width:396pt;height:3in" o:ole="">
            <v:imagedata r:id="rId26" o:title=""/>
          </v:shape>
          <o:OLEObject Type="Embed" ProgID="Excel.Sheet.12" ShapeID="_x0000_i1032" DrawAspect="Content" ObjectID="_1721140172" r:id="rId27"/>
        </w:object>
      </w:r>
    </w:p>
    <w:p w:rsidR="001E73E2" w:rsidRPr="00F1074C" w:rsidRDefault="001E73E2" w:rsidP="001E73E2">
      <w:pPr>
        <w:pStyle w:val="PargrafodaLista"/>
        <w:numPr>
          <w:ilvl w:val="0"/>
          <w:numId w:val="19"/>
        </w:numPr>
        <w:spacing w:after="120" w:line="360" w:lineRule="auto"/>
        <w:contextualSpacing w:val="0"/>
        <w:jc w:val="both"/>
        <w:rPr>
          <w:rFonts w:asciiTheme="minorHAnsi" w:hAnsiTheme="minorHAnsi" w:cstheme="minorHAnsi"/>
          <w:b/>
          <w:sz w:val="22"/>
          <w:szCs w:val="22"/>
        </w:rPr>
      </w:pPr>
      <w:r w:rsidRPr="00C05EDC">
        <w:rPr>
          <w:rFonts w:asciiTheme="minorHAnsi" w:hAnsiTheme="minorHAnsi" w:cstheme="minorHAnsi"/>
          <w:b/>
          <w:sz w:val="22"/>
          <w:szCs w:val="22"/>
        </w:rPr>
        <w:t>Imobilizado</w:t>
      </w:r>
    </w:p>
    <w:bookmarkStart w:id="9" w:name="_MON_1699079384"/>
    <w:bookmarkEnd w:id="9"/>
    <w:bookmarkStart w:id="10" w:name="_MON_1610785451"/>
    <w:bookmarkEnd w:id="10"/>
    <w:p w:rsidR="001E73E2" w:rsidRDefault="001E73E2" w:rsidP="001E73E2">
      <w:pPr>
        <w:spacing w:after="120" w:line="360" w:lineRule="auto"/>
        <w:ind w:left="-993"/>
        <w:jc w:val="center"/>
        <w:rPr>
          <w:rFonts w:asciiTheme="minorHAnsi" w:hAnsiTheme="minorHAnsi" w:cstheme="minorHAnsi"/>
          <w:b/>
          <w:sz w:val="22"/>
          <w:szCs w:val="22"/>
        </w:rPr>
      </w:pPr>
      <w:r>
        <w:rPr>
          <w:rFonts w:asciiTheme="minorHAnsi" w:hAnsiTheme="minorHAnsi" w:cstheme="minorHAnsi"/>
          <w:b/>
          <w:sz w:val="22"/>
          <w:szCs w:val="22"/>
        </w:rPr>
        <w:object w:dxaOrig="10260" w:dyaOrig="4957">
          <v:shape id="_x0000_i1033" type="#_x0000_t75" style="width:509.25pt;height:246pt" o:ole="">
            <v:imagedata r:id="rId28" o:title=""/>
          </v:shape>
          <o:OLEObject Type="Embed" ProgID="Excel.Sheet.12" ShapeID="_x0000_i1033" DrawAspect="Content" ObjectID="_1721140173" r:id="rId29"/>
        </w:object>
      </w:r>
    </w:p>
    <w:p w:rsidR="001E73E2" w:rsidRPr="00B84765" w:rsidRDefault="001E73E2" w:rsidP="001E73E2">
      <w:pPr>
        <w:pStyle w:val="PargrafodaLista"/>
        <w:numPr>
          <w:ilvl w:val="0"/>
          <w:numId w:val="19"/>
        </w:numPr>
        <w:spacing w:after="120" w:line="360" w:lineRule="auto"/>
        <w:contextualSpacing w:val="0"/>
        <w:jc w:val="both"/>
        <w:rPr>
          <w:rFonts w:asciiTheme="minorHAnsi" w:hAnsiTheme="minorHAnsi" w:cstheme="minorHAnsi"/>
          <w:b/>
          <w:sz w:val="22"/>
          <w:szCs w:val="22"/>
        </w:rPr>
      </w:pPr>
      <w:r w:rsidRPr="00B84765">
        <w:rPr>
          <w:rFonts w:asciiTheme="minorHAnsi" w:hAnsiTheme="minorHAnsi" w:cstheme="minorHAnsi"/>
          <w:b/>
          <w:sz w:val="22"/>
          <w:szCs w:val="22"/>
        </w:rPr>
        <w:t>Receita X Despesa</w:t>
      </w:r>
    </w:p>
    <w:p w:rsidR="001E73E2" w:rsidRPr="00B84765" w:rsidRDefault="001E73E2" w:rsidP="001E73E2">
      <w:pPr>
        <w:spacing w:after="120" w:line="360" w:lineRule="auto"/>
        <w:ind w:firstLine="708"/>
        <w:jc w:val="both"/>
        <w:rPr>
          <w:rFonts w:asciiTheme="minorHAnsi" w:hAnsiTheme="minorHAnsi" w:cstheme="minorHAnsi"/>
          <w:b/>
          <w:sz w:val="22"/>
          <w:szCs w:val="22"/>
        </w:rPr>
      </w:pPr>
      <w:r>
        <w:rPr>
          <w:rFonts w:asciiTheme="minorHAnsi" w:hAnsiTheme="minorHAnsi" w:cstheme="minorHAnsi"/>
          <w:b/>
          <w:sz w:val="22"/>
          <w:szCs w:val="22"/>
        </w:rPr>
        <w:t>Comparativo da Receita Arrecadada</w:t>
      </w:r>
    </w:p>
    <w:bookmarkStart w:id="11" w:name="_MON_1610973096"/>
    <w:bookmarkEnd w:id="11"/>
    <w:p w:rsidR="001E73E2" w:rsidRPr="00B84765" w:rsidRDefault="001E73E2" w:rsidP="001E73E2">
      <w:pPr>
        <w:spacing w:after="120" w:line="360" w:lineRule="auto"/>
        <w:jc w:val="center"/>
        <w:rPr>
          <w:rFonts w:asciiTheme="minorHAnsi" w:hAnsiTheme="minorHAnsi" w:cstheme="minorHAnsi"/>
          <w:b/>
          <w:sz w:val="22"/>
          <w:szCs w:val="22"/>
        </w:rPr>
      </w:pPr>
      <w:r w:rsidRPr="00B84765">
        <w:rPr>
          <w:rFonts w:asciiTheme="minorHAnsi" w:hAnsiTheme="minorHAnsi" w:cstheme="minorHAnsi"/>
          <w:b/>
          <w:sz w:val="22"/>
          <w:szCs w:val="22"/>
        </w:rPr>
        <w:object w:dxaOrig="10509" w:dyaOrig="5259">
          <v:shape id="_x0000_i1034" type="#_x0000_t75" style="width:474pt;height:239.25pt" o:ole="">
            <v:imagedata r:id="rId30" o:title=""/>
          </v:shape>
          <o:OLEObject Type="Embed" ProgID="Excel.Sheet.12" ShapeID="_x0000_i1034" DrawAspect="Content" ObjectID="_1721140174" r:id="rId31"/>
        </w:object>
      </w:r>
    </w:p>
    <w:p w:rsidR="001E73E2" w:rsidRPr="00B84765" w:rsidRDefault="001E73E2" w:rsidP="001E73E2">
      <w:pPr>
        <w:spacing w:after="120" w:line="360" w:lineRule="auto"/>
        <w:jc w:val="both"/>
        <w:rPr>
          <w:rFonts w:asciiTheme="minorHAnsi" w:hAnsiTheme="minorHAnsi" w:cstheme="minorHAnsi"/>
          <w:b/>
          <w:sz w:val="22"/>
          <w:szCs w:val="22"/>
        </w:rPr>
      </w:pPr>
      <w:r>
        <w:rPr>
          <w:noProof/>
          <w:lang w:eastAsia="pt-BR"/>
        </w:rPr>
        <w:lastRenderedPageBreak/>
        <w:drawing>
          <wp:inline distT="0" distB="0" distL="0" distR="0" wp14:anchorId="5FA0329D" wp14:editId="1FC29A16">
            <wp:extent cx="5760085" cy="3000375"/>
            <wp:effectExtent l="0" t="0" r="1206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E73E2" w:rsidRPr="00B84765" w:rsidRDefault="001E73E2" w:rsidP="001E73E2">
      <w:pPr>
        <w:spacing w:after="120" w:line="360" w:lineRule="auto"/>
        <w:ind w:firstLine="708"/>
        <w:jc w:val="both"/>
        <w:rPr>
          <w:rFonts w:asciiTheme="minorHAnsi" w:hAnsiTheme="minorHAnsi" w:cstheme="minorHAnsi"/>
          <w:b/>
          <w:sz w:val="22"/>
          <w:szCs w:val="22"/>
        </w:rPr>
      </w:pPr>
      <w:r w:rsidRPr="00B84765">
        <w:rPr>
          <w:rFonts w:asciiTheme="minorHAnsi" w:hAnsiTheme="minorHAnsi" w:cstheme="minorHAnsi"/>
          <w:b/>
          <w:sz w:val="22"/>
          <w:szCs w:val="22"/>
        </w:rPr>
        <w:t>Comparativo Despesa Orçamentária</w:t>
      </w:r>
    </w:p>
    <w:bookmarkStart w:id="12" w:name="_MON_1610973459"/>
    <w:bookmarkEnd w:id="12"/>
    <w:p w:rsidR="001E73E2" w:rsidRDefault="001E73E2" w:rsidP="001E73E2">
      <w:pPr>
        <w:spacing w:after="120" w:line="360" w:lineRule="auto"/>
        <w:jc w:val="center"/>
        <w:rPr>
          <w:rFonts w:asciiTheme="minorHAnsi" w:hAnsiTheme="minorHAnsi" w:cstheme="minorHAnsi"/>
          <w:sz w:val="18"/>
          <w:szCs w:val="18"/>
        </w:rPr>
      </w:pPr>
      <w:r w:rsidRPr="00B84765">
        <w:rPr>
          <w:rFonts w:asciiTheme="minorHAnsi" w:hAnsiTheme="minorHAnsi" w:cstheme="minorHAnsi"/>
          <w:b/>
          <w:sz w:val="22"/>
          <w:szCs w:val="22"/>
        </w:rPr>
        <w:object w:dxaOrig="10509" w:dyaOrig="5259">
          <v:shape id="_x0000_i1035" type="#_x0000_t75" style="width:486pt;height:246pt" o:ole="">
            <v:imagedata r:id="rId33" o:title=""/>
          </v:shape>
          <o:OLEObject Type="Embed" ProgID="Excel.Sheet.12" ShapeID="_x0000_i1035" DrawAspect="Content" ObjectID="_1721140175" r:id="rId34"/>
        </w:object>
      </w:r>
      <w:r>
        <w:rPr>
          <w:rFonts w:asciiTheme="minorHAnsi" w:hAnsiTheme="minorHAnsi" w:cstheme="minorHAnsi"/>
          <w:b/>
          <w:sz w:val="22"/>
          <w:szCs w:val="22"/>
        </w:rPr>
        <w:tab/>
      </w:r>
      <w:r w:rsidRPr="00C36393">
        <w:rPr>
          <w:rFonts w:asciiTheme="minorHAnsi" w:hAnsiTheme="minorHAnsi" w:cstheme="minorHAnsi"/>
          <w:sz w:val="18"/>
          <w:szCs w:val="18"/>
        </w:rPr>
        <w:t>* Os gráficos com os comparativos de tipos de despesa estão no Anexo I no final do documento.</w:t>
      </w:r>
      <w:r>
        <w:rPr>
          <w:rFonts w:asciiTheme="minorHAnsi" w:hAnsiTheme="minorHAnsi" w:cstheme="minorHAnsi"/>
          <w:sz w:val="18"/>
          <w:szCs w:val="18"/>
        </w:rPr>
        <w:t xml:space="preserve"> </w:t>
      </w:r>
    </w:p>
    <w:p w:rsidR="001E73E2" w:rsidRDefault="001E73E2" w:rsidP="001E73E2">
      <w:pPr>
        <w:spacing w:after="120" w:line="360" w:lineRule="auto"/>
        <w:rPr>
          <w:rFonts w:asciiTheme="minorHAnsi" w:hAnsiTheme="minorHAnsi" w:cstheme="minorHAnsi"/>
          <w:b/>
          <w:sz w:val="22"/>
          <w:szCs w:val="22"/>
        </w:rPr>
      </w:pPr>
      <w:r>
        <w:rPr>
          <w:noProof/>
          <w:lang w:eastAsia="pt-BR"/>
        </w:rPr>
        <w:lastRenderedPageBreak/>
        <w:drawing>
          <wp:inline distT="0" distB="0" distL="0" distR="0" wp14:anchorId="079E0ACC" wp14:editId="5510EE8D">
            <wp:extent cx="5760085" cy="2496820"/>
            <wp:effectExtent l="0" t="0" r="12065" b="1778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E73E2" w:rsidRDefault="001E73E2" w:rsidP="001E73E2">
      <w:pPr>
        <w:spacing w:after="120" w:line="360" w:lineRule="auto"/>
        <w:rPr>
          <w:rFonts w:asciiTheme="minorHAnsi" w:hAnsiTheme="minorHAnsi" w:cstheme="minorHAnsi"/>
          <w:b/>
          <w:sz w:val="22"/>
          <w:szCs w:val="22"/>
        </w:rPr>
      </w:pPr>
    </w:p>
    <w:p w:rsidR="001E73E2" w:rsidRPr="00B84765" w:rsidRDefault="001E73E2" w:rsidP="001E73E2">
      <w:pPr>
        <w:spacing w:after="120" w:line="360" w:lineRule="auto"/>
        <w:rPr>
          <w:rFonts w:asciiTheme="minorHAnsi" w:hAnsiTheme="minorHAnsi" w:cstheme="minorHAnsi"/>
          <w:b/>
          <w:sz w:val="22"/>
          <w:szCs w:val="22"/>
        </w:rPr>
        <w:sectPr w:rsidR="001E73E2" w:rsidRPr="00B84765" w:rsidSect="008F0EC0">
          <w:headerReference w:type="default" r:id="rId36"/>
          <w:footerReference w:type="default" r:id="rId37"/>
          <w:pgSz w:w="11906" w:h="16838" w:code="9"/>
          <w:pgMar w:top="1701" w:right="1134" w:bottom="1134" w:left="1701" w:header="709" w:footer="709" w:gutter="0"/>
          <w:cols w:space="708"/>
          <w:docGrid w:linePitch="360"/>
        </w:sectPr>
      </w:pPr>
    </w:p>
    <w:p w:rsidR="001E73E2" w:rsidRPr="00B84765" w:rsidRDefault="001E73E2" w:rsidP="001E73E2">
      <w:pPr>
        <w:spacing w:after="120" w:line="360" w:lineRule="auto"/>
        <w:ind w:firstLine="708"/>
        <w:rPr>
          <w:rFonts w:asciiTheme="minorHAnsi" w:hAnsiTheme="minorHAnsi" w:cstheme="minorHAnsi"/>
          <w:b/>
          <w:sz w:val="22"/>
          <w:szCs w:val="22"/>
        </w:rPr>
      </w:pPr>
      <w:r w:rsidRPr="00B84765">
        <w:rPr>
          <w:rFonts w:asciiTheme="minorHAnsi" w:hAnsiTheme="minorHAnsi" w:cstheme="minorHAnsi"/>
          <w:b/>
          <w:sz w:val="22"/>
          <w:szCs w:val="22"/>
        </w:rPr>
        <w:lastRenderedPageBreak/>
        <w:t>Detalhamento da Receita</w:t>
      </w:r>
    </w:p>
    <w:bookmarkStart w:id="13" w:name="_MON_1711971810"/>
    <w:bookmarkEnd w:id="13"/>
    <w:bookmarkStart w:id="14" w:name="_MON_1616842620"/>
    <w:bookmarkEnd w:id="14"/>
    <w:p w:rsidR="001E73E2" w:rsidRDefault="001E73E2" w:rsidP="001E73E2">
      <w:pPr>
        <w:spacing w:after="120" w:line="360" w:lineRule="auto"/>
        <w:ind w:left="-284" w:firstLine="284"/>
        <w:rPr>
          <w:rFonts w:asciiTheme="minorHAnsi" w:hAnsiTheme="minorHAnsi" w:cstheme="minorHAnsi"/>
          <w:b/>
          <w:sz w:val="22"/>
          <w:szCs w:val="22"/>
        </w:rPr>
      </w:pPr>
      <w:r>
        <w:rPr>
          <w:rFonts w:asciiTheme="minorHAnsi" w:hAnsiTheme="minorHAnsi" w:cstheme="minorHAnsi"/>
          <w:b/>
          <w:sz w:val="22"/>
          <w:szCs w:val="22"/>
        </w:rPr>
        <w:object w:dxaOrig="19374" w:dyaOrig="6409">
          <v:shape id="_x0000_i1036" type="#_x0000_t75" style="width:783pt;height:278.25pt" o:ole="">
            <v:imagedata r:id="rId38" o:title=""/>
          </v:shape>
          <o:OLEObject Type="Embed" ProgID="Excel.Sheet.12" ShapeID="_x0000_i1036" DrawAspect="Content" ObjectID="_1721140176" r:id="rId39"/>
        </w:object>
      </w:r>
    </w:p>
    <w:p w:rsidR="001E73E2" w:rsidRPr="00B84765" w:rsidRDefault="001E73E2" w:rsidP="001E73E2">
      <w:pPr>
        <w:spacing w:after="120" w:line="360" w:lineRule="auto"/>
        <w:rPr>
          <w:rFonts w:asciiTheme="minorHAnsi" w:hAnsiTheme="minorHAnsi" w:cstheme="minorHAnsi"/>
          <w:b/>
          <w:sz w:val="22"/>
          <w:szCs w:val="22"/>
        </w:rPr>
        <w:sectPr w:rsidR="001E73E2" w:rsidRPr="00B84765" w:rsidSect="008F0EC0">
          <w:pgSz w:w="16838" w:h="11906" w:orient="landscape" w:code="9"/>
          <w:pgMar w:top="1701" w:right="1701" w:bottom="1134" w:left="709" w:header="709" w:footer="709" w:gutter="0"/>
          <w:cols w:space="708"/>
          <w:vAlign w:val="center"/>
          <w:docGrid w:linePitch="360"/>
        </w:sectPr>
      </w:pPr>
    </w:p>
    <w:p w:rsidR="001E73E2" w:rsidRPr="00B84765" w:rsidRDefault="001E73E2" w:rsidP="001E73E2">
      <w:pPr>
        <w:spacing w:after="120" w:line="360" w:lineRule="auto"/>
        <w:ind w:firstLine="708"/>
        <w:rPr>
          <w:rFonts w:asciiTheme="minorHAnsi" w:hAnsiTheme="minorHAnsi" w:cstheme="minorHAnsi"/>
          <w:b/>
          <w:sz w:val="22"/>
          <w:szCs w:val="22"/>
        </w:rPr>
      </w:pPr>
      <w:r w:rsidRPr="00B84765">
        <w:rPr>
          <w:rFonts w:asciiTheme="minorHAnsi" w:hAnsiTheme="minorHAnsi" w:cstheme="minorHAnsi"/>
          <w:b/>
          <w:sz w:val="22"/>
          <w:szCs w:val="22"/>
        </w:rPr>
        <w:lastRenderedPageBreak/>
        <w:t>Detalhamento da Despesa</w:t>
      </w:r>
    </w:p>
    <w:bookmarkStart w:id="15" w:name="_MON_1645340591"/>
    <w:bookmarkEnd w:id="15"/>
    <w:p w:rsidR="001E73E2" w:rsidRPr="00B84765" w:rsidRDefault="001E73E2" w:rsidP="001E73E2">
      <w:pPr>
        <w:spacing w:after="120" w:line="360" w:lineRule="auto"/>
        <w:jc w:val="center"/>
        <w:rPr>
          <w:rFonts w:asciiTheme="minorHAnsi" w:hAnsiTheme="minorHAnsi" w:cstheme="minorHAnsi"/>
          <w:b/>
          <w:sz w:val="22"/>
          <w:szCs w:val="22"/>
        </w:rPr>
      </w:pPr>
      <w:r w:rsidRPr="00B84765">
        <w:rPr>
          <w:rFonts w:asciiTheme="minorHAnsi" w:hAnsiTheme="minorHAnsi" w:cstheme="minorHAnsi"/>
          <w:b/>
          <w:sz w:val="22"/>
          <w:szCs w:val="22"/>
        </w:rPr>
        <w:object w:dxaOrig="21373" w:dyaOrig="7279">
          <v:shape id="_x0000_i1037" type="#_x0000_t75" style="width:11in;height:276.75pt" o:ole="">
            <v:imagedata r:id="rId40" o:title=""/>
          </v:shape>
          <o:OLEObject Type="Embed" ProgID="Excel.Sheet.12" ShapeID="_x0000_i1037" DrawAspect="Content" ObjectID="_1721140177" r:id="rId41"/>
        </w:object>
      </w:r>
    </w:p>
    <w:p w:rsidR="001E73E2" w:rsidRPr="00B84765" w:rsidRDefault="001E73E2" w:rsidP="001E73E2">
      <w:pPr>
        <w:spacing w:after="120" w:line="360" w:lineRule="auto"/>
        <w:rPr>
          <w:rFonts w:asciiTheme="minorHAnsi" w:hAnsiTheme="minorHAnsi" w:cstheme="minorHAnsi"/>
          <w:b/>
          <w:sz w:val="22"/>
          <w:szCs w:val="22"/>
        </w:rPr>
        <w:sectPr w:rsidR="001E73E2" w:rsidRPr="00B84765" w:rsidSect="008F0EC0">
          <w:pgSz w:w="16838" w:h="11906" w:orient="landscape" w:code="9"/>
          <w:pgMar w:top="720" w:right="720" w:bottom="720" w:left="720" w:header="709" w:footer="709" w:gutter="0"/>
          <w:cols w:space="708"/>
          <w:vAlign w:val="center"/>
          <w:docGrid w:linePitch="360"/>
        </w:sectPr>
      </w:pPr>
    </w:p>
    <w:p w:rsidR="001E73E2" w:rsidRPr="00B84765" w:rsidRDefault="001E73E2" w:rsidP="001E73E2">
      <w:pPr>
        <w:spacing w:after="120" w:line="360" w:lineRule="auto"/>
        <w:jc w:val="center"/>
        <w:rPr>
          <w:rFonts w:asciiTheme="minorHAnsi" w:hAnsiTheme="minorHAnsi" w:cstheme="minorHAnsi"/>
          <w:b/>
          <w:sz w:val="22"/>
          <w:szCs w:val="22"/>
        </w:rPr>
      </w:pPr>
    </w:p>
    <w:p w:rsidR="001E73E2" w:rsidRPr="00B84765" w:rsidRDefault="001E73E2" w:rsidP="001E73E2">
      <w:pPr>
        <w:spacing w:after="120" w:line="360" w:lineRule="auto"/>
        <w:rPr>
          <w:rFonts w:asciiTheme="minorHAnsi" w:hAnsiTheme="minorHAnsi" w:cstheme="minorHAnsi"/>
          <w:b/>
          <w:sz w:val="22"/>
          <w:szCs w:val="22"/>
        </w:rPr>
      </w:pPr>
    </w:p>
    <w:p w:rsidR="001E73E2" w:rsidRPr="00B84765" w:rsidRDefault="001E73E2" w:rsidP="001E73E2">
      <w:pPr>
        <w:spacing w:after="120" w:line="360" w:lineRule="auto"/>
        <w:jc w:val="center"/>
        <w:rPr>
          <w:rFonts w:asciiTheme="minorHAnsi" w:hAnsiTheme="minorHAnsi" w:cstheme="minorHAnsi"/>
          <w:sz w:val="22"/>
          <w:szCs w:val="22"/>
        </w:rPr>
      </w:pPr>
      <w:r w:rsidRPr="00B84765">
        <w:rPr>
          <w:rFonts w:asciiTheme="minorHAnsi" w:hAnsiTheme="minorHAnsi" w:cstheme="minorHAnsi"/>
          <w:sz w:val="22"/>
          <w:szCs w:val="22"/>
        </w:rPr>
        <w:t>_________________________</w:t>
      </w:r>
    </w:p>
    <w:p w:rsidR="001E73E2" w:rsidRPr="00B84765" w:rsidRDefault="001E73E2" w:rsidP="001E73E2">
      <w:pPr>
        <w:spacing w:after="120" w:line="360" w:lineRule="auto"/>
        <w:jc w:val="center"/>
        <w:rPr>
          <w:rFonts w:asciiTheme="minorHAnsi" w:hAnsiTheme="minorHAnsi" w:cstheme="minorHAnsi"/>
          <w:sz w:val="22"/>
          <w:szCs w:val="22"/>
        </w:rPr>
      </w:pPr>
      <w:r>
        <w:rPr>
          <w:rFonts w:asciiTheme="minorHAnsi" w:hAnsiTheme="minorHAnsi" w:cstheme="minorHAnsi"/>
          <w:sz w:val="22"/>
          <w:szCs w:val="22"/>
        </w:rPr>
        <w:t>Pedro Reusch Ianzer Jardim</w:t>
      </w:r>
    </w:p>
    <w:p w:rsidR="001E73E2" w:rsidRDefault="001E73E2" w:rsidP="001E73E2">
      <w:pPr>
        <w:spacing w:after="120" w:line="360" w:lineRule="auto"/>
        <w:jc w:val="center"/>
        <w:rPr>
          <w:rFonts w:asciiTheme="minorHAnsi" w:hAnsiTheme="minorHAnsi" w:cstheme="minorHAnsi"/>
          <w:sz w:val="22"/>
          <w:szCs w:val="22"/>
        </w:rPr>
      </w:pPr>
      <w:r w:rsidRPr="00B84765">
        <w:rPr>
          <w:rFonts w:asciiTheme="minorHAnsi" w:hAnsiTheme="minorHAnsi" w:cstheme="minorHAnsi"/>
          <w:sz w:val="22"/>
          <w:szCs w:val="22"/>
        </w:rPr>
        <w:t xml:space="preserve">Analista de Nível Superior </w:t>
      </w:r>
      <w:r>
        <w:rPr>
          <w:rFonts w:asciiTheme="minorHAnsi" w:hAnsiTheme="minorHAnsi" w:cstheme="minorHAnsi"/>
          <w:sz w:val="22"/>
          <w:szCs w:val="22"/>
        </w:rPr>
        <w:t>–</w:t>
      </w:r>
      <w:r w:rsidRPr="00B84765">
        <w:rPr>
          <w:rFonts w:asciiTheme="minorHAnsi" w:hAnsiTheme="minorHAnsi" w:cstheme="minorHAnsi"/>
          <w:sz w:val="22"/>
          <w:szCs w:val="22"/>
        </w:rPr>
        <w:t xml:space="preserve"> Contador</w:t>
      </w: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spacing w:after="120" w:line="360" w:lineRule="auto"/>
        <w:jc w:val="center"/>
        <w:rPr>
          <w:rFonts w:asciiTheme="minorHAnsi" w:hAnsiTheme="minorHAnsi" w:cstheme="minorHAnsi"/>
          <w:sz w:val="22"/>
          <w:szCs w:val="22"/>
        </w:rPr>
      </w:pPr>
    </w:p>
    <w:p w:rsidR="001E73E2" w:rsidRDefault="001E73E2" w:rsidP="001E73E2">
      <w:pPr>
        <w:tabs>
          <w:tab w:val="center" w:pos="4535"/>
          <w:tab w:val="left" w:pos="7490"/>
        </w:tabs>
        <w:spacing w:after="120" w:line="360" w:lineRule="auto"/>
        <w:rPr>
          <w:rFonts w:asciiTheme="minorHAnsi" w:hAnsiTheme="minorHAnsi" w:cstheme="minorHAnsi"/>
          <w:b/>
          <w:sz w:val="22"/>
          <w:szCs w:val="22"/>
        </w:rPr>
      </w:pPr>
      <w:r>
        <w:rPr>
          <w:rFonts w:asciiTheme="minorHAnsi" w:hAnsiTheme="minorHAnsi" w:cstheme="minorHAnsi"/>
          <w:b/>
          <w:sz w:val="22"/>
          <w:szCs w:val="22"/>
        </w:rPr>
        <w:tab/>
        <w:t>ANEXO I</w:t>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drawing>
          <wp:inline distT="0" distB="0" distL="0" distR="0" wp14:anchorId="059C8B24" wp14:editId="6192977A">
            <wp:extent cx="5311140" cy="2575560"/>
            <wp:effectExtent l="0" t="0" r="3810" b="1524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drawing>
          <wp:inline distT="0" distB="0" distL="0" distR="0" wp14:anchorId="4FCA1463" wp14:editId="167CF77A">
            <wp:extent cx="5303520" cy="2720340"/>
            <wp:effectExtent l="0" t="0" r="11430" b="381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lastRenderedPageBreak/>
        <w:drawing>
          <wp:inline distT="0" distB="0" distL="0" distR="0" wp14:anchorId="532ED12C" wp14:editId="461B5442">
            <wp:extent cx="5387340" cy="2644140"/>
            <wp:effectExtent l="0" t="0" r="3810" b="381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drawing>
          <wp:inline distT="0" distB="0" distL="0" distR="0" wp14:anchorId="217C4890" wp14:editId="37F874F6">
            <wp:extent cx="5196840" cy="2644140"/>
            <wp:effectExtent l="0" t="0" r="3810" b="381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lastRenderedPageBreak/>
        <w:drawing>
          <wp:inline distT="0" distB="0" distL="0" distR="0" wp14:anchorId="51ABC121" wp14:editId="451CFEEE">
            <wp:extent cx="5166360" cy="2689860"/>
            <wp:effectExtent l="0" t="0" r="15240" b="1524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drawing>
          <wp:inline distT="0" distB="0" distL="0" distR="0" wp14:anchorId="046CD88A" wp14:editId="5EBBE512">
            <wp:extent cx="5219700" cy="29718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lastRenderedPageBreak/>
        <w:drawing>
          <wp:inline distT="0" distB="0" distL="0" distR="0" wp14:anchorId="694FD38E" wp14:editId="3673DDA1">
            <wp:extent cx="5242560" cy="2720340"/>
            <wp:effectExtent l="0" t="0" r="15240" b="381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drawing>
          <wp:inline distT="0" distB="0" distL="0" distR="0" wp14:anchorId="160A4AAC" wp14:editId="23DF7284">
            <wp:extent cx="5242560" cy="2857500"/>
            <wp:effectExtent l="0" t="0" r="1524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lastRenderedPageBreak/>
        <w:drawing>
          <wp:inline distT="0" distB="0" distL="0" distR="0" wp14:anchorId="4E38F71D" wp14:editId="7A6CE01C">
            <wp:extent cx="5234940" cy="2689860"/>
            <wp:effectExtent l="0" t="0" r="3810" b="1524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drawing>
          <wp:inline distT="0" distB="0" distL="0" distR="0" wp14:anchorId="3DDE8470" wp14:editId="1C8B96AE">
            <wp:extent cx="5052060" cy="2552700"/>
            <wp:effectExtent l="0" t="0" r="1524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Pr>
          <w:noProof/>
          <w:lang w:eastAsia="pt-BR"/>
        </w:rPr>
        <w:drawing>
          <wp:inline distT="0" distB="0" distL="0" distR="0" wp14:anchorId="32204A75" wp14:editId="1BD53BA7">
            <wp:extent cx="5021580" cy="2743200"/>
            <wp:effectExtent l="0" t="0" r="762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lastRenderedPageBreak/>
        <w:drawing>
          <wp:inline distT="0" distB="0" distL="0" distR="0" wp14:anchorId="5E5E44A4" wp14:editId="617C32A6">
            <wp:extent cx="5029200" cy="2750820"/>
            <wp:effectExtent l="0" t="0" r="0" b="1143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drawing>
          <wp:inline distT="0" distB="0" distL="0" distR="0" wp14:anchorId="74AFF9CC" wp14:editId="1E0EEBBE">
            <wp:extent cx="5158740" cy="2735580"/>
            <wp:effectExtent l="0" t="0" r="3810" b="762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lastRenderedPageBreak/>
        <w:drawing>
          <wp:inline distT="0" distB="0" distL="0" distR="0" wp14:anchorId="3D768967" wp14:editId="078202CC">
            <wp:extent cx="5082540" cy="2727960"/>
            <wp:effectExtent l="0" t="0" r="3810" b="1524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1E73E2" w:rsidRDefault="001E73E2" w:rsidP="001E73E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drawing>
          <wp:inline distT="0" distB="0" distL="0" distR="0" wp14:anchorId="21B1FF70" wp14:editId="44A12F6C">
            <wp:extent cx="5052060" cy="2766060"/>
            <wp:effectExtent l="0" t="0" r="15240" b="1524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57"/>
      <w:footerReference w:type="default" r:id="rId58"/>
      <w:headerReference w:type="first" r:id="rId59"/>
      <w:footerReference w:type="first" r:id="rId60"/>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EC0" w:rsidRDefault="008F0EC0">
      <w:r>
        <w:separator/>
      </w:r>
    </w:p>
  </w:endnote>
  <w:endnote w:type="continuationSeparator" w:id="0">
    <w:p w:rsidR="008F0EC0" w:rsidRDefault="008F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C0" w:rsidRDefault="008F0EC0">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8F0EC0" w:rsidRDefault="008F0EC0">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427233">
          <w:rPr>
            <w:rFonts w:ascii="DaxCondensed" w:hAnsi="DaxCondensed" w:cs="Arial"/>
            <w:noProof/>
            <w:sz w:val="20"/>
            <w:szCs w:val="20"/>
          </w:rPr>
          <w:t>2</w:t>
        </w:r>
        <w:r>
          <w:rPr>
            <w:rFonts w:ascii="DaxCondensed" w:hAnsi="DaxCondensed" w:cs="Arial"/>
            <w:sz w:val="20"/>
            <w:szCs w:val="20"/>
          </w:rPr>
          <w:fldChar w:fldCharType="end"/>
        </w:r>
      </w:p>
      <w:p w:rsidR="008F0EC0" w:rsidRDefault="008F0EC0">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C0" w:rsidRDefault="008F0EC0">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8F0EC0" w:rsidRDefault="008F0EC0">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8F0EC0" w:rsidRDefault="008F0EC0">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427233">
          <w:rPr>
            <w:rFonts w:ascii="DaxCondensed" w:hAnsi="DaxCondensed" w:cs="Arial"/>
            <w:noProof/>
            <w:sz w:val="20"/>
            <w:szCs w:val="20"/>
          </w:rPr>
          <w:t>1</w:t>
        </w:r>
        <w:r>
          <w:rPr>
            <w:rFonts w:ascii="DaxCondensed" w:hAnsi="DaxCondensed" w:cs="Arial"/>
            <w:sz w:val="20"/>
            <w:szCs w:val="20"/>
          </w:rPr>
          <w:fldChar w:fldCharType="end"/>
        </w:r>
      </w:p>
      <w:p w:rsidR="008F0EC0" w:rsidRDefault="008F0EC0">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C0" w:rsidRPr="001F028B" w:rsidRDefault="008F0EC0" w:rsidP="008F0EC0">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_______________________________________________________________________________________</w:t>
    </w:r>
  </w:p>
  <w:p w:rsidR="008F0EC0" w:rsidRPr="001F028B" w:rsidRDefault="008F0EC0" w:rsidP="008F0EC0">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C0" w:rsidRDefault="008F0EC0">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8F0EC0" w:rsidRDefault="008F0EC0">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8F0EC0" w:rsidRDefault="008F0EC0">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427233">
          <w:rPr>
            <w:rFonts w:ascii="DaxCondensed" w:hAnsi="DaxCondensed" w:cs="Arial"/>
            <w:noProof/>
            <w:sz w:val="20"/>
            <w:szCs w:val="20"/>
          </w:rPr>
          <w:t>20</w:t>
        </w:r>
        <w:r>
          <w:rPr>
            <w:rFonts w:ascii="DaxCondensed" w:hAnsi="DaxCondensed" w:cs="Arial"/>
            <w:sz w:val="20"/>
            <w:szCs w:val="20"/>
          </w:rPr>
          <w:fldChar w:fldCharType="end"/>
        </w:r>
      </w:p>
      <w:p w:rsidR="008F0EC0" w:rsidRDefault="008F0EC0">
        <w:pPr>
          <w:pStyle w:val="Rodap"/>
          <w:ind w:left="-567"/>
          <w:rPr>
            <w:sz w:val="20"/>
            <w:szCs w:val="20"/>
          </w:rPr>
        </w:pPr>
        <w:r>
          <w:rPr>
            <w:rFonts w:ascii="DaxCondensed" w:hAnsi="DaxCondensed" w:cs="Arial"/>
            <w:b/>
            <w:color w:val="2C778C"/>
            <w:sz w:val="20"/>
            <w:szCs w:val="20"/>
          </w:rPr>
          <w:t>www.caurs.gov.br</w:t>
        </w:r>
      </w:p>
      <w:p w:rsidR="008F0EC0" w:rsidRDefault="00427233"/>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C0" w:rsidRDefault="008F0EC0">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8F0EC0" w:rsidRDefault="008F0EC0">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8F0EC0" w:rsidRDefault="008F0EC0">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427233">
          <w:rPr>
            <w:rFonts w:ascii="DaxCondensed" w:hAnsi="DaxCondensed" w:cs="Arial"/>
            <w:noProof/>
            <w:sz w:val="20"/>
            <w:szCs w:val="20"/>
          </w:rPr>
          <w:t>13</w:t>
        </w:r>
        <w:r>
          <w:rPr>
            <w:rFonts w:ascii="DaxCondensed" w:hAnsi="DaxCondensed" w:cs="Arial"/>
            <w:sz w:val="20"/>
            <w:szCs w:val="20"/>
          </w:rPr>
          <w:fldChar w:fldCharType="end"/>
        </w:r>
      </w:p>
      <w:p w:rsidR="008F0EC0" w:rsidRDefault="008F0EC0">
        <w:pPr>
          <w:pStyle w:val="Rodap"/>
          <w:ind w:left="-567"/>
          <w:rPr>
            <w:sz w:val="20"/>
            <w:szCs w:val="20"/>
          </w:rPr>
        </w:pPr>
        <w:r>
          <w:rPr>
            <w:rFonts w:ascii="DaxCondensed" w:hAnsi="DaxCondensed" w:cs="Arial"/>
            <w:b/>
            <w:color w:val="2C778C"/>
            <w:sz w:val="20"/>
            <w:szCs w:val="20"/>
          </w:rPr>
          <w:t>www.caurs.gov.br</w:t>
        </w:r>
      </w:p>
      <w:p w:rsidR="008F0EC0" w:rsidRDefault="00427233"/>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EC0" w:rsidRDefault="008F0EC0">
      <w:r>
        <w:separator/>
      </w:r>
    </w:p>
  </w:footnote>
  <w:footnote w:type="continuationSeparator" w:id="0">
    <w:p w:rsidR="008F0EC0" w:rsidRDefault="008F0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C0" w:rsidRDefault="008F0EC0">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C0" w:rsidRDefault="008F0EC0">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8F0EC0" w:rsidRDefault="008F0EC0">
    <w:pPr>
      <w:pStyle w:val="Cabealho"/>
      <w:jc w:val="right"/>
    </w:pPr>
  </w:p>
  <w:p w:rsidR="008F0EC0" w:rsidRDefault="008F0EC0">
    <w:pPr>
      <w:pStyle w:val="Cabealho"/>
      <w:jc w:val="right"/>
    </w:pPr>
  </w:p>
  <w:p w:rsidR="008F0EC0" w:rsidRDefault="008F0EC0">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C0" w:rsidRDefault="008F0EC0">
    <w:pPr>
      <w:pStyle w:val="Cabealho"/>
    </w:pPr>
    <w:r>
      <w:rPr>
        <w:noProof/>
        <w:lang w:eastAsia="pt-BR"/>
      </w:rPr>
      <w:drawing>
        <wp:anchor distT="0" distB="0" distL="114300" distR="114300" simplePos="0" relativeHeight="251664384" behindDoc="1" locked="0" layoutInCell="1" allowOverlap="1" wp14:anchorId="4CE2C0C4" wp14:editId="320A0315">
          <wp:simplePos x="0" y="0"/>
          <wp:positionH relativeFrom="margin">
            <wp:align>center</wp:align>
          </wp:positionH>
          <wp:positionV relativeFrom="paragraph">
            <wp:posOffset>-450215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C0" w:rsidRDefault="008F0EC0">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8F0EC0" w:rsidRDefault="008F0E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C0" w:rsidRDefault="008F0EC0">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8F0EC0" w:rsidRDefault="008F0E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102CDF"/>
    <w:multiLevelType w:val="hybridMultilevel"/>
    <w:tmpl w:val="2C681A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3551F4A"/>
    <w:multiLevelType w:val="hybridMultilevel"/>
    <w:tmpl w:val="450A0424"/>
    <w:lvl w:ilvl="0" w:tplc="A6E2969C">
      <w:start w:val="1"/>
      <w:numFmt w:val="decimal"/>
      <w:lvlText w:val="%1."/>
      <w:lvlJc w:val="left"/>
      <w:pPr>
        <w:ind w:left="1070"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4"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2"/>
  </w:num>
  <w:num w:numId="5">
    <w:abstractNumId w:val="1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4"/>
  </w:num>
  <w:num w:numId="13">
    <w:abstractNumId w:val="12"/>
  </w:num>
  <w:num w:numId="14">
    <w:abstractNumId w:val="16"/>
  </w:num>
  <w:num w:numId="15">
    <w:abstractNumId w:val="8"/>
  </w:num>
  <w:num w:numId="16">
    <w:abstractNumId w:val="0"/>
  </w:num>
  <w:num w:numId="17">
    <w:abstractNumId w:val="18"/>
  </w:num>
  <w:num w:numId="18">
    <w:abstractNumId w:val="13"/>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4021B"/>
    <w:rsid w:val="000B621A"/>
    <w:rsid w:val="00127DCE"/>
    <w:rsid w:val="0013101F"/>
    <w:rsid w:val="00155C1C"/>
    <w:rsid w:val="00163138"/>
    <w:rsid w:val="001A2002"/>
    <w:rsid w:val="001E2D03"/>
    <w:rsid w:val="001E73E2"/>
    <w:rsid w:val="0020210B"/>
    <w:rsid w:val="00225E96"/>
    <w:rsid w:val="002317CB"/>
    <w:rsid w:val="00274BF8"/>
    <w:rsid w:val="00286789"/>
    <w:rsid w:val="00292FD6"/>
    <w:rsid w:val="00305CBC"/>
    <w:rsid w:val="003248D6"/>
    <w:rsid w:val="003262D1"/>
    <w:rsid w:val="00332947"/>
    <w:rsid w:val="003347BC"/>
    <w:rsid w:val="003523FC"/>
    <w:rsid w:val="00392B9A"/>
    <w:rsid w:val="00393245"/>
    <w:rsid w:val="003A6EE1"/>
    <w:rsid w:val="003B530C"/>
    <w:rsid w:val="003D3CC3"/>
    <w:rsid w:val="004102BE"/>
    <w:rsid w:val="004129B1"/>
    <w:rsid w:val="004136E1"/>
    <w:rsid w:val="00421D3E"/>
    <w:rsid w:val="004250EB"/>
    <w:rsid w:val="00427233"/>
    <w:rsid w:val="004418A7"/>
    <w:rsid w:val="004921EE"/>
    <w:rsid w:val="004A7853"/>
    <w:rsid w:val="004B0F35"/>
    <w:rsid w:val="004F4077"/>
    <w:rsid w:val="00507DD9"/>
    <w:rsid w:val="00590282"/>
    <w:rsid w:val="00591B04"/>
    <w:rsid w:val="00594DD0"/>
    <w:rsid w:val="005B5313"/>
    <w:rsid w:val="005C18E0"/>
    <w:rsid w:val="005C3926"/>
    <w:rsid w:val="0061151A"/>
    <w:rsid w:val="006264DF"/>
    <w:rsid w:val="00665E9D"/>
    <w:rsid w:val="0066618A"/>
    <w:rsid w:val="00693E01"/>
    <w:rsid w:val="006A6EAA"/>
    <w:rsid w:val="006F5074"/>
    <w:rsid w:val="006F72F5"/>
    <w:rsid w:val="00735525"/>
    <w:rsid w:val="00741A3F"/>
    <w:rsid w:val="0074549A"/>
    <w:rsid w:val="00766FE1"/>
    <w:rsid w:val="007A1836"/>
    <w:rsid w:val="007E5451"/>
    <w:rsid w:val="008037A5"/>
    <w:rsid w:val="00844FAA"/>
    <w:rsid w:val="0086262D"/>
    <w:rsid w:val="00863CC9"/>
    <w:rsid w:val="00867F97"/>
    <w:rsid w:val="00871AD5"/>
    <w:rsid w:val="008B0FC5"/>
    <w:rsid w:val="008D4EAD"/>
    <w:rsid w:val="008D6781"/>
    <w:rsid w:val="008F0EC0"/>
    <w:rsid w:val="00904C0A"/>
    <w:rsid w:val="009116E7"/>
    <w:rsid w:val="00936FB1"/>
    <w:rsid w:val="009F48A5"/>
    <w:rsid w:val="009F7A5C"/>
    <w:rsid w:val="00A25E4E"/>
    <w:rsid w:val="00A5451E"/>
    <w:rsid w:val="00A57067"/>
    <w:rsid w:val="00A71A38"/>
    <w:rsid w:val="00A90A79"/>
    <w:rsid w:val="00AB1E34"/>
    <w:rsid w:val="00AB2898"/>
    <w:rsid w:val="00AB3628"/>
    <w:rsid w:val="00AC106A"/>
    <w:rsid w:val="00B80B09"/>
    <w:rsid w:val="00BC12AE"/>
    <w:rsid w:val="00BD0E8E"/>
    <w:rsid w:val="00C072C7"/>
    <w:rsid w:val="00CC4BED"/>
    <w:rsid w:val="00CD4B3C"/>
    <w:rsid w:val="00CF273B"/>
    <w:rsid w:val="00E5615B"/>
    <w:rsid w:val="00E65E3D"/>
    <w:rsid w:val="00E66813"/>
    <w:rsid w:val="00EB3BDE"/>
    <w:rsid w:val="00EC4204"/>
    <w:rsid w:val="00ED7FDA"/>
    <w:rsid w:val="00EE0389"/>
    <w:rsid w:val="00EE061E"/>
    <w:rsid w:val="00F02455"/>
    <w:rsid w:val="00F44056"/>
    <w:rsid w:val="00F70A8E"/>
    <w:rsid w:val="00F95ADD"/>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8D6781"/>
  </w:style>
  <w:style w:type="paragraph" w:customStyle="1" w:styleId="paragraph">
    <w:name w:val="paragraph"/>
    <w:basedOn w:val="Normal"/>
    <w:rsid w:val="008D6781"/>
    <w:pPr>
      <w:spacing w:before="100" w:beforeAutospacing="1" w:after="100" w:afterAutospacing="1"/>
    </w:pPr>
    <w:rPr>
      <w:rFonts w:ascii="Times New Roman" w:eastAsia="Times New Roman" w:hAnsi="Times New Roman"/>
      <w:lang w:eastAsia="pt-BR"/>
    </w:rPr>
  </w:style>
  <w:style w:type="character" w:styleId="Hyperlink">
    <w:name w:val="Hyperlink"/>
    <w:basedOn w:val="Fontepargpadro"/>
    <w:uiPriority w:val="99"/>
    <w:unhideWhenUsed/>
    <w:rsid w:val="00591B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Planilha_do_Microsoft_Excel1.xlsx"/><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package" Target="embeddings/Planilha_do_Microsoft_Excel12.xlsx"/><Relationship Id="rId21" Type="http://schemas.openxmlformats.org/officeDocument/2006/relationships/package" Target="embeddings/Planilha_do_Microsoft_Excel5.xlsx"/><Relationship Id="rId34" Type="http://schemas.openxmlformats.org/officeDocument/2006/relationships/package" Target="embeddings/Planilha_do_Microsoft_Excel11.xlsx"/><Relationship Id="rId42" Type="http://schemas.openxmlformats.org/officeDocument/2006/relationships/chart" Target="charts/chart3.xml"/><Relationship Id="rId47" Type="http://schemas.openxmlformats.org/officeDocument/2006/relationships/chart" Target="charts/chart8.xml"/><Relationship Id="rId50" Type="http://schemas.openxmlformats.org/officeDocument/2006/relationships/chart" Target="charts/chart11.xml"/><Relationship Id="rId55" Type="http://schemas.openxmlformats.org/officeDocument/2006/relationships/chart" Target="charts/chart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package" Target="embeddings/Planilha_do_Microsoft_Excel9.xlsx"/><Relationship Id="rId11" Type="http://schemas.openxmlformats.org/officeDocument/2006/relationships/footer" Target="footer2.xml"/><Relationship Id="rId24" Type="http://schemas.openxmlformats.org/officeDocument/2006/relationships/image" Target="media/image8.emf"/><Relationship Id="rId32" Type="http://schemas.openxmlformats.org/officeDocument/2006/relationships/chart" Target="charts/chart1.xml"/><Relationship Id="rId37" Type="http://schemas.openxmlformats.org/officeDocument/2006/relationships/footer" Target="footer3.xml"/><Relationship Id="rId40" Type="http://schemas.openxmlformats.org/officeDocument/2006/relationships/image" Target="media/image14.emf"/><Relationship Id="rId45" Type="http://schemas.openxmlformats.org/officeDocument/2006/relationships/chart" Target="charts/chart6.xml"/><Relationship Id="rId53" Type="http://schemas.openxmlformats.org/officeDocument/2006/relationships/chart" Target="charts/chart14.xm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package" Target="embeddings/Planilha_do_Microsoft_Excel4.xlsx"/><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Planilha_do_Microsoft_Excel8.xlsx"/><Relationship Id="rId30" Type="http://schemas.openxmlformats.org/officeDocument/2006/relationships/image" Target="media/image11.emf"/><Relationship Id="rId35" Type="http://schemas.openxmlformats.org/officeDocument/2006/relationships/chart" Target="charts/chart2.xml"/><Relationship Id="rId43" Type="http://schemas.openxmlformats.org/officeDocument/2006/relationships/chart" Target="charts/chart4.xml"/><Relationship Id="rId48" Type="http://schemas.openxmlformats.org/officeDocument/2006/relationships/chart" Target="charts/chart9.xml"/><Relationship Id="rId56" Type="http://schemas.openxmlformats.org/officeDocument/2006/relationships/chart" Target="charts/chart17.xml"/><Relationship Id="rId8" Type="http://schemas.openxmlformats.org/officeDocument/2006/relationships/header" Target="header1.xml"/><Relationship Id="rId51" Type="http://schemas.openxmlformats.org/officeDocument/2006/relationships/chart" Target="charts/chart12.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package" Target="embeddings/Planilha_do_Microsoft_Excel3.xlsx"/><Relationship Id="rId25" Type="http://schemas.openxmlformats.org/officeDocument/2006/relationships/package" Target="embeddings/Planilha_do_Microsoft_Excel7.xlsx"/><Relationship Id="rId33" Type="http://schemas.openxmlformats.org/officeDocument/2006/relationships/image" Target="media/image12.emf"/><Relationship Id="rId38" Type="http://schemas.openxmlformats.org/officeDocument/2006/relationships/image" Target="media/image13.emf"/><Relationship Id="rId46" Type="http://schemas.openxmlformats.org/officeDocument/2006/relationships/chart" Target="charts/chart7.xml"/><Relationship Id="rId59" Type="http://schemas.openxmlformats.org/officeDocument/2006/relationships/header" Target="header5.xml"/><Relationship Id="rId20" Type="http://schemas.openxmlformats.org/officeDocument/2006/relationships/image" Target="media/image6.emf"/><Relationship Id="rId41" Type="http://schemas.openxmlformats.org/officeDocument/2006/relationships/package" Target="embeddings/Planilha_do_Microsoft_Excel13.xlsx"/><Relationship Id="rId54" Type="http://schemas.openxmlformats.org/officeDocument/2006/relationships/chart" Target="charts/chart15.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Planilha_do_Microsoft_Excel2.xlsx"/><Relationship Id="rId23" Type="http://schemas.openxmlformats.org/officeDocument/2006/relationships/package" Target="embeddings/Planilha_do_Microsoft_Excel6.xlsx"/><Relationship Id="rId28" Type="http://schemas.openxmlformats.org/officeDocument/2006/relationships/image" Target="media/image10.emf"/><Relationship Id="rId36" Type="http://schemas.openxmlformats.org/officeDocument/2006/relationships/header" Target="header3.xml"/><Relationship Id="rId49" Type="http://schemas.openxmlformats.org/officeDocument/2006/relationships/chart" Target="charts/chart10.xml"/><Relationship Id="rId57" Type="http://schemas.openxmlformats.org/officeDocument/2006/relationships/header" Target="header4.xml"/><Relationship Id="rId10" Type="http://schemas.openxmlformats.org/officeDocument/2006/relationships/header" Target="header2.xml"/><Relationship Id="rId31" Type="http://schemas.openxmlformats.org/officeDocument/2006/relationships/package" Target="embeddings/Planilha_do_Microsoft_Excel10.xlsx"/><Relationship Id="rId44" Type="http://schemas.openxmlformats.org/officeDocument/2006/relationships/chart" Target="charts/chart5.xml"/><Relationship Id="rId52" Type="http://schemas.openxmlformats.org/officeDocument/2006/relationships/chart" Target="charts/chart13.xml"/><Relationship Id="rId60"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niemeyer\Financeiro\Contabilidade\Relat&#243;rio%20de%20Balancete%20Mensal\Relat&#243;rios%202022\05\Gr&#225;ficos%2005.2022.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13.xml"/><Relationship Id="rId1" Type="http://schemas.microsoft.com/office/2011/relationships/chartStyle" Target="style13.xml"/></Relationships>
</file>

<file path=word/charts/_rels/chart16.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14.xml"/><Relationship Id="rId1" Type="http://schemas.microsoft.com/office/2011/relationships/chartStyle" Target="style14.xml"/></Relationships>
</file>

<file path=word/charts/_rels/chart17.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1" Type="http://schemas.openxmlformats.org/officeDocument/2006/relationships/oleObject" Target="file:///\\niemeyer\Financeiro\Contabilidade\Relat&#243;rio%20de%20Balancete%20Mensal\Relat&#243;rios%202022\05\Gr&#225;ficos%2005.2022.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05\Gr&#225;ficos%2005.202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Receita!Tabela dinâmica9</c:name>
    <c:fmtId val="-1"/>
  </c:pivotSource>
  <c:chart>
    <c:title>
      <c:tx>
        <c:rich>
          <a:bodyPr/>
          <a:lstStyle/>
          <a:p>
            <a:pPr>
              <a:defRPr/>
            </a:pPr>
            <a:r>
              <a:rPr lang="en-US"/>
              <a:t>Receita</a:t>
            </a:r>
            <a:r>
              <a:rPr lang="en-US" baseline="0"/>
              <a:t> Total</a:t>
            </a:r>
            <a:endParaRPr lang="en-US"/>
          </a:p>
        </c:rich>
      </c:tx>
      <c:layout/>
      <c:overlay val="0"/>
    </c:title>
    <c:autoTitleDeleted val="0"/>
    <c:pivotFmts>
      <c:pivotFmt>
        <c:idx val="0"/>
        <c:spPr>
          <a:solidFill>
            <a:schemeClr val="accent1"/>
          </a:solidFill>
          <a:ln>
            <a:noFill/>
          </a:ln>
          <a:effectLst/>
        </c:spPr>
        <c:marker>
          <c:symbol val="diamond"/>
          <c:size val="6"/>
          <c:spPr>
            <a:solidFill>
              <a:schemeClr val="accent1"/>
            </a:solidFill>
            <a:ln w="9525">
              <a:solidFill>
                <a:schemeClr val="accent1"/>
              </a:solidFill>
              <a:round/>
            </a:ln>
            <a:effectLst/>
          </c:spPr>
        </c:marker>
      </c:pivotFmt>
      <c:pivotFmt>
        <c:idx val="1"/>
        <c:spPr>
          <a:solidFill>
            <a:schemeClr val="accent1"/>
          </a:solidFill>
          <a:ln>
            <a:noFill/>
          </a:ln>
          <a:effectLst/>
        </c:spPr>
        <c:marker>
          <c:symbol val="square"/>
          <c:size val="6"/>
          <c:spPr>
            <a:solidFill>
              <a:schemeClr val="accent2"/>
            </a:solidFill>
            <a:ln w="9525">
              <a:solidFill>
                <a:schemeClr val="accent2"/>
              </a:solidFill>
              <a:round/>
            </a:ln>
            <a:effectLst/>
          </c:spPr>
        </c:marker>
      </c:pivotFmt>
      <c:pivotFmt>
        <c:idx val="2"/>
        <c:spPr>
          <a:solidFill>
            <a:schemeClr val="accent1"/>
          </a:solidFill>
          <a:ln>
            <a:noFill/>
          </a:ln>
          <a:effectLst/>
        </c:spPr>
        <c:marker>
          <c:spPr>
            <a:solidFill>
              <a:schemeClr val="accent1"/>
            </a:solidFill>
            <a:ln w="9525">
              <a:solidFill>
                <a:schemeClr val="accent1"/>
              </a:solidFill>
              <a:round/>
            </a:ln>
            <a:effectLst/>
          </c:spPr>
        </c:marker>
      </c:pivotFmt>
      <c:pivotFmt>
        <c:idx val="3"/>
        <c:spPr>
          <a:solidFill>
            <a:schemeClr val="accent1"/>
          </a:solidFill>
          <a:ln>
            <a:noFill/>
          </a:ln>
          <a:effectLst/>
        </c:spPr>
        <c:marker>
          <c:spPr>
            <a:solidFill>
              <a:schemeClr val="accent1"/>
            </a:solidFill>
            <a:ln w="9525">
              <a:solidFill>
                <a:schemeClr val="accent1"/>
              </a:solidFill>
              <a:round/>
            </a:ln>
            <a:effectLst/>
          </c:spPr>
        </c:marker>
      </c:pivotFmt>
      <c:pivotFmt>
        <c:idx val="4"/>
        <c:spPr>
          <a:solidFill>
            <a:schemeClr val="accent1"/>
          </a:solidFill>
          <a:ln>
            <a:noFill/>
          </a:ln>
          <a:effectLst/>
        </c:spPr>
        <c:marker>
          <c:spPr>
            <a:solidFill>
              <a:schemeClr val="accent1"/>
            </a:solidFill>
            <a:ln w="9525">
              <a:solidFill>
                <a:schemeClr val="accent1"/>
              </a:solidFill>
              <a:round/>
            </a:ln>
            <a:effectLst/>
          </c:spPr>
        </c:marker>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spPr>
          <a:solidFill>
            <a:schemeClr val="accent1"/>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6"/>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5"/>
        <c:spPr>
          <a:effectLst/>
        </c:spPr>
        <c:dLbl>
          <c:idx val="0"/>
          <c:spPr/>
          <c:txPr>
            <a:bodyPr/>
            <a:lstStyle/>
            <a:p>
              <a:pPr>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26"/>
        <c:spPr>
          <a:effectLst/>
        </c:spPr>
      </c:pivotFmt>
      <c:pivotFmt>
        <c:idx val="27"/>
        <c:spPr>
          <a:effectLst/>
        </c:spPr>
      </c:pivotFmt>
      <c:pivotFmt>
        <c:idx val="28"/>
        <c:marker>
          <c:symbol val="none"/>
        </c:marker>
      </c:pivotFmt>
      <c:pivotFmt>
        <c:idx val="29"/>
        <c:spPr>
          <a:solidFill>
            <a:schemeClr val="accent2"/>
          </a:solidFill>
          <a:ln>
            <a:noFill/>
          </a:ln>
          <a:effectLst/>
        </c:spPr>
        <c:marker>
          <c:symbol val="none"/>
        </c:marker>
      </c:pivotFmt>
      <c:pivotFmt>
        <c:idx val="30"/>
      </c:pivotFmt>
      <c:pivotFmt>
        <c:idx val="31"/>
      </c:pivotFmt>
      <c:pivotFmt>
        <c:idx val="32"/>
      </c:pivotFmt>
      <c:pivotFmt>
        <c:idx val="33"/>
        <c:marker>
          <c:symbol val="none"/>
        </c:marker>
        <c:dLbl>
          <c:idx val="0"/>
          <c:delete val="1"/>
          <c:extLst>
            <c:ext xmlns:c15="http://schemas.microsoft.com/office/drawing/2012/chart" uri="{CE6537A1-D6FC-4f65-9D91-7224C49458BB}"/>
          </c:extLst>
        </c:dLbl>
      </c:pivotFmt>
      <c:pivotFmt>
        <c:idx val="34"/>
        <c:dLbl>
          <c:idx val="0"/>
          <c:spPr>
            <a:noFill/>
            <a:ln>
              <a:noFill/>
            </a:ln>
            <a:effectLst/>
          </c:spPr>
          <c:txPr>
            <a:bodyPr wrap="square" lIns="38100" tIns="19050" rIns="38100" bIns="19050" anchor="ctr">
              <a:spAutoFit/>
            </a:bodyPr>
            <a:lstStyle/>
            <a:p>
              <a:pPr>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35"/>
        <c:dLbl>
          <c:idx val="0"/>
          <c:spPr>
            <a:noFill/>
            <a:ln>
              <a:noFill/>
            </a:ln>
            <a:effectLst/>
          </c:spPr>
          <c:txPr>
            <a:bodyPr wrap="square" lIns="38100" tIns="19050" rIns="38100" bIns="19050" anchor="ctr">
              <a:spAutoFit/>
            </a:bodyPr>
            <a:lstStyle/>
            <a:p>
              <a:pPr>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36"/>
        <c:dLbl>
          <c:idx val="0"/>
          <c:spPr>
            <a:noFill/>
            <a:ln>
              <a:noFill/>
            </a:ln>
            <a:effectLst/>
          </c:spPr>
          <c:txPr>
            <a:bodyPr wrap="square" lIns="38100" tIns="19050" rIns="38100" bIns="19050" anchor="ctr">
              <a:spAutoFit/>
            </a:bodyPr>
            <a:lstStyle/>
            <a:p>
              <a:pPr>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37"/>
        <c:dLbl>
          <c:idx val="0"/>
          <c:spPr>
            <a:noFill/>
            <a:ln>
              <a:noFill/>
            </a:ln>
            <a:effectLst/>
          </c:spPr>
          <c:txPr>
            <a:bodyPr wrap="square" lIns="38100" tIns="19050" rIns="38100" bIns="19050" anchor="ctr">
              <a:spAutoFit/>
            </a:bodyPr>
            <a:lstStyle/>
            <a:p>
              <a:pPr>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38"/>
        <c:dLbl>
          <c:idx val="0"/>
          <c:spPr>
            <a:noFill/>
            <a:ln>
              <a:noFill/>
            </a:ln>
            <a:effectLst/>
          </c:spPr>
          <c:txPr>
            <a:bodyPr wrap="square" lIns="38100" tIns="19050" rIns="38100" bIns="19050" anchor="ctr">
              <a:spAutoFit/>
            </a:bodyPr>
            <a:lstStyle/>
            <a:p>
              <a:pPr>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39"/>
        <c:marker>
          <c:symbol val="none"/>
        </c:marker>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s>
    <c:plotArea>
      <c:layout>
        <c:manualLayout>
          <c:layoutTarget val="inner"/>
          <c:xMode val="edge"/>
          <c:yMode val="edge"/>
          <c:x val="6.0912453760789097E-2"/>
          <c:y val="0.18266959625885401"/>
          <c:w val="0.77159884915741905"/>
          <c:h val="0.63786936064081601"/>
        </c:manualLayout>
      </c:layout>
      <c:lineChart>
        <c:grouping val="standard"/>
        <c:varyColors val="0"/>
        <c:ser>
          <c:idx val="0"/>
          <c:order val="0"/>
          <c:tx>
            <c:strRef>
              <c:f>'G. Receita'!$B$6:$B$7</c:f>
              <c:strCache>
                <c:ptCount val="1"/>
                <c:pt idx="0">
                  <c:v>2018</c:v>
                </c:pt>
              </c:strCache>
            </c:strRef>
          </c:tx>
          <c:cat>
            <c:strRef>
              <c:f>'G. Receita'!$A$8:$A$20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Receita'!$B$8:$B$20</c:f>
              <c:numCache>
                <c:formatCode>General</c:formatCode>
                <c:ptCount val="12"/>
                <c:pt idx="0">
                  <c:v>1658179.4999999998</c:v>
                </c:pt>
                <c:pt idx="1">
                  <c:v>1627911.02</c:v>
                </c:pt>
                <c:pt idx="2">
                  <c:v>1380820.63</c:v>
                </c:pt>
                <c:pt idx="3">
                  <c:v>1240988.0900000001</c:v>
                </c:pt>
                <c:pt idx="4">
                  <c:v>1357677.1300000001</c:v>
                </c:pt>
                <c:pt idx="5">
                  <c:v>1249832.3000000003</c:v>
                </c:pt>
                <c:pt idx="6">
                  <c:v>975281.58000000007</c:v>
                </c:pt>
                <c:pt idx="7">
                  <c:v>1026042.7499999999</c:v>
                </c:pt>
                <c:pt idx="8">
                  <c:v>840204.39</c:v>
                </c:pt>
                <c:pt idx="9">
                  <c:v>997927.83000000007</c:v>
                </c:pt>
                <c:pt idx="10">
                  <c:v>956525.95</c:v>
                </c:pt>
                <c:pt idx="11">
                  <c:v>897168.08</c:v>
                </c:pt>
              </c:numCache>
            </c:numRef>
          </c:val>
          <c:smooth val="0"/>
        </c:ser>
        <c:ser>
          <c:idx val="1"/>
          <c:order val="1"/>
          <c:tx>
            <c:strRef>
              <c:f>'G. Receita'!$C$6:$C$7</c:f>
              <c:strCache>
                <c:ptCount val="1"/>
                <c:pt idx="0">
                  <c:v>2019</c:v>
                </c:pt>
              </c:strCache>
            </c:strRef>
          </c:tx>
          <c:cat>
            <c:strRef>
              <c:f>'G. Receita'!$A$8:$A$20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Receita'!$C$8:$C$20</c:f>
              <c:numCache>
                <c:formatCode>General</c:formatCode>
                <c:ptCount val="12"/>
                <c:pt idx="0">
                  <c:v>1701100.38</c:v>
                </c:pt>
                <c:pt idx="1">
                  <c:v>1867746.5599999998</c:v>
                </c:pt>
                <c:pt idx="2">
                  <c:v>1176381.8600000001</c:v>
                </c:pt>
                <c:pt idx="3">
                  <c:v>1381897.23</c:v>
                </c:pt>
                <c:pt idx="4">
                  <c:v>1496420.13</c:v>
                </c:pt>
                <c:pt idx="5">
                  <c:v>1304829.4700000002</c:v>
                </c:pt>
                <c:pt idx="6">
                  <c:v>1149525.54</c:v>
                </c:pt>
                <c:pt idx="7">
                  <c:v>1041714.9800000001</c:v>
                </c:pt>
                <c:pt idx="8">
                  <c:v>1056634.1299999999</c:v>
                </c:pt>
                <c:pt idx="9">
                  <c:v>1151930.0300000003</c:v>
                </c:pt>
                <c:pt idx="10">
                  <c:v>974030.84</c:v>
                </c:pt>
                <c:pt idx="11">
                  <c:v>1022293.9400000002</c:v>
                </c:pt>
              </c:numCache>
            </c:numRef>
          </c:val>
          <c:smooth val="0"/>
        </c:ser>
        <c:ser>
          <c:idx val="2"/>
          <c:order val="2"/>
          <c:tx>
            <c:strRef>
              <c:f>'G. Receita'!$D$6:$D$7</c:f>
              <c:strCache>
                <c:ptCount val="1"/>
                <c:pt idx="0">
                  <c:v>2020</c:v>
                </c:pt>
              </c:strCache>
            </c:strRef>
          </c:tx>
          <c:cat>
            <c:strRef>
              <c:f>'G. Receita'!$A$8:$A$20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Receita'!$D$8:$D$20</c:f>
              <c:numCache>
                <c:formatCode>General</c:formatCode>
                <c:ptCount val="12"/>
                <c:pt idx="0">
                  <c:v>1794119.1200000003</c:v>
                </c:pt>
                <c:pt idx="1">
                  <c:v>1673763.06</c:v>
                </c:pt>
                <c:pt idx="2">
                  <c:v>1243793.0900000001</c:v>
                </c:pt>
                <c:pt idx="3">
                  <c:v>660772.43000000005</c:v>
                </c:pt>
                <c:pt idx="4">
                  <c:v>751001.45</c:v>
                </c:pt>
                <c:pt idx="5">
                  <c:v>959451.15</c:v>
                </c:pt>
                <c:pt idx="6">
                  <c:v>1095715.83</c:v>
                </c:pt>
                <c:pt idx="7">
                  <c:v>1261791.3699999999</c:v>
                </c:pt>
                <c:pt idx="8">
                  <c:v>973662.86999999988</c:v>
                </c:pt>
                <c:pt idx="9">
                  <c:v>1006306.2199999999</c:v>
                </c:pt>
                <c:pt idx="10">
                  <c:v>941049.01000000013</c:v>
                </c:pt>
                <c:pt idx="11">
                  <c:v>1045819.35</c:v>
                </c:pt>
              </c:numCache>
            </c:numRef>
          </c:val>
          <c:smooth val="0"/>
        </c:ser>
        <c:ser>
          <c:idx val="3"/>
          <c:order val="3"/>
          <c:tx>
            <c:strRef>
              <c:f>'G. Receita'!$E$6:$E$7</c:f>
              <c:strCache>
                <c:ptCount val="1"/>
                <c:pt idx="0">
                  <c:v>2021</c:v>
                </c:pt>
              </c:strCache>
            </c:strRef>
          </c:tx>
          <c:cat>
            <c:strRef>
              <c:f>'G. Receita'!$A$8:$A$20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Receita'!$E$8:$E$20</c:f>
              <c:numCache>
                <c:formatCode>General</c:formatCode>
                <c:ptCount val="12"/>
                <c:pt idx="0">
                  <c:v>1547238.8400000003</c:v>
                </c:pt>
                <c:pt idx="1">
                  <c:v>1603575.1899999997</c:v>
                </c:pt>
                <c:pt idx="2">
                  <c:v>1451643.2099999997</c:v>
                </c:pt>
                <c:pt idx="3">
                  <c:v>1237320.82</c:v>
                </c:pt>
                <c:pt idx="4">
                  <c:v>1218850.3699999999</c:v>
                </c:pt>
                <c:pt idx="5">
                  <c:v>1259933.1299999999</c:v>
                </c:pt>
                <c:pt idx="6">
                  <c:v>1202663.4100000001</c:v>
                </c:pt>
                <c:pt idx="7">
                  <c:v>1266734.21</c:v>
                </c:pt>
                <c:pt idx="8">
                  <c:v>1067688.5100000002</c:v>
                </c:pt>
                <c:pt idx="9">
                  <c:v>1064092.2199999997</c:v>
                </c:pt>
                <c:pt idx="10">
                  <c:v>1048696.42</c:v>
                </c:pt>
                <c:pt idx="11">
                  <c:v>1172903.69</c:v>
                </c:pt>
              </c:numCache>
            </c:numRef>
          </c:val>
          <c:smooth val="0"/>
        </c:ser>
        <c:ser>
          <c:idx val="4"/>
          <c:order val="4"/>
          <c:tx>
            <c:strRef>
              <c:f>'G. Receita'!$F$6:$F$7</c:f>
              <c:strCache>
                <c:ptCount val="1"/>
                <c:pt idx="0">
                  <c:v>2022</c:v>
                </c:pt>
              </c:strCache>
            </c:strRef>
          </c:tx>
          <c:cat>
            <c:strRef>
              <c:f>'G. Receita'!$A$8:$A$20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Receita'!$F$8:$F$20</c:f>
              <c:numCache>
                <c:formatCode>General</c:formatCode>
                <c:ptCount val="12"/>
                <c:pt idx="0">
                  <c:v>1947493.6800000004</c:v>
                </c:pt>
                <c:pt idx="1">
                  <c:v>2044300.6200000003</c:v>
                </c:pt>
                <c:pt idx="2">
                  <c:v>1946611.08</c:v>
                </c:pt>
                <c:pt idx="3">
                  <c:v>1359104.6499999997</c:v>
                </c:pt>
                <c:pt idx="4">
                  <c:v>1653524.6099999999</c:v>
                </c:pt>
                <c:pt idx="5">
                  <c:v>0</c:v>
                </c:pt>
                <c:pt idx="6">
                  <c:v>0</c:v>
                </c:pt>
                <c:pt idx="7">
                  <c:v>0</c:v>
                </c:pt>
                <c:pt idx="8">
                  <c:v>0</c:v>
                </c:pt>
                <c:pt idx="9">
                  <c:v>0</c:v>
                </c:pt>
                <c:pt idx="10">
                  <c:v>0</c:v>
                </c:pt>
                <c:pt idx="11">
                  <c:v>0</c:v>
                </c:pt>
              </c:numCache>
            </c:numRef>
          </c:val>
          <c:smooth val="0"/>
        </c:ser>
        <c:dLbls>
          <c:showLegendKey val="0"/>
          <c:showVal val="0"/>
          <c:showCatName val="0"/>
          <c:showSerName val="0"/>
          <c:showPercent val="0"/>
          <c:showBubbleSize val="0"/>
        </c:dLbls>
        <c:marker val="1"/>
        <c:smooth val="0"/>
        <c:axId val="-413396384"/>
        <c:axId val="-413398560"/>
      </c:lineChart>
      <c:catAx>
        <c:axId val="-413396384"/>
        <c:scaling>
          <c:orientation val="minMax"/>
        </c:scaling>
        <c:delete val="0"/>
        <c:axPos val="b"/>
        <c:numFmt formatCode="&quot;$&quot;\ #,##0.00" sourceLinked="0"/>
        <c:majorTickMark val="none"/>
        <c:minorTickMark val="none"/>
        <c:tickLblPos val="nextTo"/>
        <c:spPr>
          <a:noFill/>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t-BR"/>
          </a:p>
        </c:txPr>
        <c:crossAx val="-413398560"/>
        <c:crosses val="autoZero"/>
        <c:auto val="1"/>
        <c:lblAlgn val="ctr"/>
        <c:lblOffset val="100"/>
        <c:noMultiLvlLbl val="0"/>
      </c:catAx>
      <c:valAx>
        <c:axId val="-413398560"/>
        <c:scaling>
          <c:orientation val="minMax"/>
        </c:scaling>
        <c:delete val="0"/>
        <c:axPos val="l"/>
        <c:majorGridlines/>
        <c:numFmt formatCode="General" sourceLinked="1"/>
        <c:majorTickMark val="none"/>
        <c:minorTickMark val="none"/>
        <c:tickLblPos val="nextTo"/>
        <c:crossAx val="-413396384"/>
        <c:crosses val="autoZero"/>
        <c:crossBetween val="between"/>
        <c:dispUnits>
          <c:builtInUnit val="millions"/>
          <c:dispUnitsLbl>
            <c:layout/>
          </c:dispUnitsLbl>
        </c:dispUnits>
      </c:valAx>
      <c:spPr>
        <a:noFill/>
        <a:ln>
          <a:noFill/>
        </a:ln>
        <a:effectLst/>
      </c:spPr>
    </c:plotArea>
    <c:legend>
      <c:legendPos val="r"/>
      <c:layout/>
      <c:overlay val="0"/>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Comunicacao!Tabela dinâmica8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Serviços de Comunicação</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Comunicacao'!$B$1:$B$2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Comunicacao'!$B$3:$B$15</c:f>
              <c:numCache>
                <c:formatCode>General</c:formatCode>
                <c:ptCount val="12"/>
                <c:pt idx="0">
                  <c:v>0</c:v>
                </c:pt>
                <c:pt idx="1">
                  <c:v>3067.4</c:v>
                </c:pt>
                <c:pt idx="2">
                  <c:v>0</c:v>
                </c:pt>
                <c:pt idx="3">
                  <c:v>0</c:v>
                </c:pt>
                <c:pt idx="4">
                  <c:v>6663.2</c:v>
                </c:pt>
                <c:pt idx="5">
                  <c:v>7911.61</c:v>
                </c:pt>
                <c:pt idx="6">
                  <c:v>7202.74</c:v>
                </c:pt>
                <c:pt idx="7">
                  <c:v>24652.85</c:v>
                </c:pt>
                <c:pt idx="8">
                  <c:v>5984.25</c:v>
                </c:pt>
                <c:pt idx="9">
                  <c:v>8824.8799999999992</c:v>
                </c:pt>
                <c:pt idx="10">
                  <c:v>22542.3</c:v>
                </c:pt>
                <c:pt idx="11">
                  <c:v>176163.64</c:v>
                </c:pt>
              </c:numCache>
            </c:numRef>
          </c:val>
          <c:smooth val="0"/>
        </c:ser>
        <c:ser>
          <c:idx val="1"/>
          <c:order val="1"/>
          <c:tx>
            <c:strRef>
              <c:f>'G. Comunicacao'!$C$1:$C$2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Comunicacao'!$C$3:$C$15</c:f>
              <c:numCache>
                <c:formatCode>General</c:formatCode>
                <c:ptCount val="12"/>
                <c:pt idx="0">
                  <c:v>5129</c:v>
                </c:pt>
                <c:pt idx="1">
                  <c:v>43901.69</c:v>
                </c:pt>
                <c:pt idx="2">
                  <c:v>48989.56</c:v>
                </c:pt>
                <c:pt idx="3">
                  <c:v>32491.83</c:v>
                </c:pt>
                <c:pt idx="4">
                  <c:v>23260.3</c:v>
                </c:pt>
                <c:pt idx="5">
                  <c:v>48509.41</c:v>
                </c:pt>
                <c:pt idx="6">
                  <c:v>19201.34</c:v>
                </c:pt>
                <c:pt idx="7">
                  <c:v>117285.39</c:v>
                </c:pt>
                <c:pt idx="8">
                  <c:v>0</c:v>
                </c:pt>
                <c:pt idx="9">
                  <c:v>130231.21</c:v>
                </c:pt>
                <c:pt idx="10">
                  <c:v>39369.279999999999</c:v>
                </c:pt>
                <c:pt idx="11">
                  <c:v>260819.76</c:v>
                </c:pt>
              </c:numCache>
            </c:numRef>
          </c:val>
          <c:smooth val="0"/>
        </c:ser>
        <c:ser>
          <c:idx val="2"/>
          <c:order val="2"/>
          <c:tx>
            <c:strRef>
              <c:f>'G. Comunicacao'!$D$1:$D$2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Comunicacao'!$D$3:$D$15</c:f>
              <c:numCache>
                <c:formatCode>General</c:formatCode>
                <c:ptCount val="12"/>
                <c:pt idx="0">
                  <c:v>0</c:v>
                </c:pt>
                <c:pt idx="1">
                  <c:v>43523.4</c:v>
                </c:pt>
                <c:pt idx="2">
                  <c:v>43253.49</c:v>
                </c:pt>
                <c:pt idx="3">
                  <c:v>0</c:v>
                </c:pt>
                <c:pt idx="4">
                  <c:v>19347</c:v>
                </c:pt>
                <c:pt idx="5">
                  <c:v>19353.810000000001</c:v>
                </c:pt>
                <c:pt idx="6">
                  <c:v>5626.3</c:v>
                </c:pt>
                <c:pt idx="7">
                  <c:v>31412.95</c:v>
                </c:pt>
                <c:pt idx="8">
                  <c:v>83788.72</c:v>
                </c:pt>
                <c:pt idx="9">
                  <c:v>69400.12</c:v>
                </c:pt>
                <c:pt idx="10">
                  <c:v>0</c:v>
                </c:pt>
                <c:pt idx="11">
                  <c:v>130457.2</c:v>
                </c:pt>
              </c:numCache>
            </c:numRef>
          </c:val>
          <c:smooth val="0"/>
        </c:ser>
        <c:ser>
          <c:idx val="3"/>
          <c:order val="3"/>
          <c:tx>
            <c:strRef>
              <c:f>'G. Comunicacao'!$E$1:$E$2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Comunicacao'!$E$3:$E$15</c:f>
              <c:numCache>
                <c:formatCode>General</c:formatCode>
                <c:ptCount val="12"/>
                <c:pt idx="0">
                  <c:v>10008</c:v>
                </c:pt>
                <c:pt idx="1">
                  <c:v>46286</c:v>
                </c:pt>
                <c:pt idx="2">
                  <c:v>20332.05</c:v>
                </c:pt>
                <c:pt idx="3">
                  <c:v>32954.980000000003</c:v>
                </c:pt>
                <c:pt idx="4">
                  <c:v>20078.64</c:v>
                </c:pt>
                <c:pt idx="5">
                  <c:v>15156.5</c:v>
                </c:pt>
                <c:pt idx="6">
                  <c:v>17437.5</c:v>
                </c:pt>
                <c:pt idx="7">
                  <c:v>37416.79</c:v>
                </c:pt>
                <c:pt idx="8">
                  <c:v>10156.25</c:v>
                </c:pt>
                <c:pt idx="9">
                  <c:v>12824.02</c:v>
                </c:pt>
                <c:pt idx="10">
                  <c:v>48504.26</c:v>
                </c:pt>
                <c:pt idx="11">
                  <c:v>191222.14</c:v>
                </c:pt>
              </c:numCache>
            </c:numRef>
          </c:val>
          <c:smooth val="0"/>
        </c:ser>
        <c:ser>
          <c:idx val="4"/>
          <c:order val="4"/>
          <c:tx>
            <c:strRef>
              <c:f>'G. Comunicacao'!$F$1:$F$2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Comunicacao'!$F$3:$F$15</c:f>
              <c:numCache>
                <c:formatCode>General</c:formatCode>
                <c:ptCount val="12"/>
                <c:pt idx="0">
                  <c:v>0</c:v>
                </c:pt>
                <c:pt idx="1">
                  <c:v>29600.16</c:v>
                </c:pt>
                <c:pt idx="2">
                  <c:v>0</c:v>
                </c:pt>
                <c:pt idx="3">
                  <c:v>49233.24</c:v>
                </c:pt>
                <c:pt idx="4">
                  <c:v>37053.79</c:v>
                </c:pt>
              </c:numCache>
            </c:numRef>
          </c:val>
          <c:smooth val="0"/>
        </c:ser>
        <c:dLbls>
          <c:showLegendKey val="0"/>
          <c:showVal val="0"/>
          <c:showCatName val="0"/>
          <c:showSerName val="0"/>
          <c:showPercent val="0"/>
          <c:showBubbleSize val="0"/>
        </c:dLbls>
        <c:marker val="1"/>
        <c:smooth val="0"/>
        <c:axId val="-373557040"/>
        <c:axId val="-373556496"/>
      </c:lineChart>
      <c:catAx>
        <c:axId val="-37355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56496"/>
        <c:crosses val="autoZero"/>
        <c:auto val="1"/>
        <c:lblAlgn val="ctr"/>
        <c:lblOffset val="100"/>
        <c:noMultiLvlLbl val="0"/>
      </c:catAx>
      <c:valAx>
        <c:axId val="-373556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57040"/>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Comunicacao!Tabela dinâmica8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Serviços de Comunicação</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Comunicacao'!$B$1:$B$2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Comunicacao'!$B$3:$B$15</c:f>
              <c:numCache>
                <c:formatCode>General</c:formatCode>
                <c:ptCount val="12"/>
                <c:pt idx="0">
                  <c:v>0</c:v>
                </c:pt>
                <c:pt idx="1">
                  <c:v>3067.4</c:v>
                </c:pt>
                <c:pt idx="2">
                  <c:v>0</c:v>
                </c:pt>
                <c:pt idx="3">
                  <c:v>0</c:v>
                </c:pt>
                <c:pt idx="4">
                  <c:v>6663.2</c:v>
                </c:pt>
                <c:pt idx="5">
                  <c:v>7911.61</c:v>
                </c:pt>
                <c:pt idx="6">
                  <c:v>7202.74</c:v>
                </c:pt>
                <c:pt idx="7">
                  <c:v>24652.85</c:v>
                </c:pt>
                <c:pt idx="8">
                  <c:v>5984.25</c:v>
                </c:pt>
                <c:pt idx="9">
                  <c:v>8824.8799999999992</c:v>
                </c:pt>
                <c:pt idx="10">
                  <c:v>22542.3</c:v>
                </c:pt>
                <c:pt idx="11">
                  <c:v>176163.64</c:v>
                </c:pt>
              </c:numCache>
            </c:numRef>
          </c:val>
          <c:smooth val="0"/>
        </c:ser>
        <c:ser>
          <c:idx val="1"/>
          <c:order val="1"/>
          <c:tx>
            <c:strRef>
              <c:f>'G. Comunicacao'!$C$1:$C$2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Comunicacao'!$C$3:$C$15</c:f>
              <c:numCache>
                <c:formatCode>General</c:formatCode>
                <c:ptCount val="12"/>
                <c:pt idx="0">
                  <c:v>5129</c:v>
                </c:pt>
                <c:pt idx="1">
                  <c:v>43901.69</c:v>
                </c:pt>
                <c:pt idx="2">
                  <c:v>48989.56</c:v>
                </c:pt>
                <c:pt idx="3">
                  <c:v>32491.83</c:v>
                </c:pt>
                <c:pt idx="4">
                  <c:v>23260.3</c:v>
                </c:pt>
                <c:pt idx="5">
                  <c:v>48509.41</c:v>
                </c:pt>
                <c:pt idx="6">
                  <c:v>19201.34</c:v>
                </c:pt>
                <c:pt idx="7">
                  <c:v>117285.39</c:v>
                </c:pt>
                <c:pt idx="8">
                  <c:v>0</c:v>
                </c:pt>
                <c:pt idx="9">
                  <c:v>130231.21</c:v>
                </c:pt>
                <c:pt idx="10">
                  <c:v>39369.279999999999</c:v>
                </c:pt>
                <c:pt idx="11">
                  <c:v>260819.76</c:v>
                </c:pt>
              </c:numCache>
            </c:numRef>
          </c:val>
          <c:smooth val="0"/>
        </c:ser>
        <c:ser>
          <c:idx val="2"/>
          <c:order val="2"/>
          <c:tx>
            <c:strRef>
              <c:f>'G. Comunicacao'!$D$1:$D$2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Comunicacao'!$D$3:$D$15</c:f>
              <c:numCache>
                <c:formatCode>General</c:formatCode>
                <c:ptCount val="12"/>
                <c:pt idx="0">
                  <c:v>0</c:v>
                </c:pt>
                <c:pt idx="1">
                  <c:v>43523.4</c:v>
                </c:pt>
                <c:pt idx="2">
                  <c:v>43253.49</c:v>
                </c:pt>
                <c:pt idx="3">
                  <c:v>0</c:v>
                </c:pt>
                <c:pt idx="4">
                  <c:v>19347</c:v>
                </c:pt>
                <c:pt idx="5">
                  <c:v>19353.810000000001</c:v>
                </c:pt>
                <c:pt idx="6">
                  <c:v>5626.3</c:v>
                </c:pt>
                <c:pt idx="7">
                  <c:v>31412.95</c:v>
                </c:pt>
                <c:pt idx="8">
                  <c:v>83788.72</c:v>
                </c:pt>
                <c:pt idx="9">
                  <c:v>69400.12</c:v>
                </c:pt>
                <c:pt idx="10">
                  <c:v>0</c:v>
                </c:pt>
                <c:pt idx="11">
                  <c:v>130457.2</c:v>
                </c:pt>
              </c:numCache>
            </c:numRef>
          </c:val>
          <c:smooth val="0"/>
        </c:ser>
        <c:ser>
          <c:idx val="3"/>
          <c:order val="3"/>
          <c:tx>
            <c:strRef>
              <c:f>'G. Comunicacao'!$E$1:$E$2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Comunicacao'!$E$3:$E$15</c:f>
              <c:numCache>
                <c:formatCode>General</c:formatCode>
                <c:ptCount val="12"/>
                <c:pt idx="0">
                  <c:v>10008</c:v>
                </c:pt>
                <c:pt idx="1">
                  <c:v>46286</c:v>
                </c:pt>
                <c:pt idx="2">
                  <c:v>20332.05</c:v>
                </c:pt>
                <c:pt idx="3">
                  <c:v>32954.980000000003</c:v>
                </c:pt>
                <c:pt idx="4">
                  <c:v>20078.64</c:v>
                </c:pt>
                <c:pt idx="5">
                  <c:v>15156.5</c:v>
                </c:pt>
                <c:pt idx="6">
                  <c:v>17437.5</c:v>
                </c:pt>
                <c:pt idx="7">
                  <c:v>37416.79</c:v>
                </c:pt>
                <c:pt idx="8">
                  <c:v>10156.25</c:v>
                </c:pt>
                <c:pt idx="9">
                  <c:v>12824.02</c:v>
                </c:pt>
                <c:pt idx="10">
                  <c:v>48504.26</c:v>
                </c:pt>
                <c:pt idx="11">
                  <c:v>191222.14</c:v>
                </c:pt>
              </c:numCache>
            </c:numRef>
          </c:val>
          <c:smooth val="0"/>
        </c:ser>
        <c:ser>
          <c:idx val="4"/>
          <c:order val="4"/>
          <c:tx>
            <c:strRef>
              <c:f>'G. Comunicacao'!$F$1:$F$2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Comunicacao'!$F$3:$F$15</c:f>
              <c:numCache>
                <c:formatCode>General</c:formatCode>
                <c:ptCount val="12"/>
                <c:pt idx="0">
                  <c:v>0</c:v>
                </c:pt>
                <c:pt idx="1">
                  <c:v>29600.16</c:v>
                </c:pt>
                <c:pt idx="2">
                  <c:v>0</c:v>
                </c:pt>
                <c:pt idx="3">
                  <c:v>49233.24</c:v>
                </c:pt>
                <c:pt idx="4">
                  <c:v>37053.79</c:v>
                </c:pt>
              </c:numCache>
            </c:numRef>
          </c:val>
          <c:smooth val="0"/>
        </c:ser>
        <c:dLbls>
          <c:showLegendKey val="0"/>
          <c:showVal val="0"/>
          <c:showCatName val="0"/>
          <c:showSerName val="0"/>
          <c:showPercent val="0"/>
          <c:showBubbleSize val="0"/>
        </c:dLbls>
        <c:marker val="1"/>
        <c:smooth val="0"/>
        <c:axId val="-373565200"/>
        <c:axId val="-373565744"/>
      </c:lineChart>
      <c:catAx>
        <c:axId val="-37356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65744"/>
        <c:crosses val="autoZero"/>
        <c:auto val="1"/>
        <c:lblAlgn val="ctr"/>
        <c:lblOffset val="100"/>
        <c:noMultiLvlLbl val="0"/>
      </c:catAx>
      <c:valAx>
        <c:axId val="-373565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65200"/>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Enc Diversos!Tabela dinâmica10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Encargos Diversos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Enc Diversos'!$B$1:$B$2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Diversos'!$B$3:$B$15</c:f>
              <c:numCache>
                <c:formatCode>General</c:formatCode>
                <c:ptCount val="12"/>
                <c:pt idx="0">
                  <c:v>29483.39</c:v>
                </c:pt>
                <c:pt idx="1">
                  <c:v>25466.97</c:v>
                </c:pt>
                <c:pt idx="2">
                  <c:v>26573.15</c:v>
                </c:pt>
                <c:pt idx="3">
                  <c:v>28193.65</c:v>
                </c:pt>
                <c:pt idx="4">
                  <c:v>26266.27</c:v>
                </c:pt>
                <c:pt idx="5">
                  <c:v>26681.05</c:v>
                </c:pt>
                <c:pt idx="6">
                  <c:v>20038.93</c:v>
                </c:pt>
                <c:pt idx="7">
                  <c:v>22687.63</c:v>
                </c:pt>
                <c:pt idx="8">
                  <c:v>18388.53</c:v>
                </c:pt>
                <c:pt idx="9">
                  <c:v>21914.01</c:v>
                </c:pt>
                <c:pt idx="10">
                  <c:v>52095.56</c:v>
                </c:pt>
                <c:pt idx="11">
                  <c:v>22012.47</c:v>
                </c:pt>
              </c:numCache>
            </c:numRef>
          </c:val>
          <c:smooth val="0"/>
        </c:ser>
        <c:ser>
          <c:idx val="1"/>
          <c:order val="1"/>
          <c:tx>
            <c:strRef>
              <c:f>'G. Enc Diversos'!$C$1:$C$2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Diversos'!$C$3:$C$15</c:f>
              <c:numCache>
                <c:formatCode>General</c:formatCode>
                <c:ptCount val="12"/>
                <c:pt idx="0">
                  <c:v>29397.46</c:v>
                </c:pt>
                <c:pt idx="1">
                  <c:v>36739.43</c:v>
                </c:pt>
                <c:pt idx="2">
                  <c:v>24878.61</c:v>
                </c:pt>
                <c:pt idx="3">
                  <c:v>29768.27</c:v>
                </c:pt>
                <c:pt idx="4">
                  <c:v>34544.300000000003</c:v>
                </c:pt>
                <c:pt idx="5">
                  <c:v>29607.37</c:v>
                </c:pt>
                <c:pt idx="6">
                  <c:v>25320.46</c:v>
                </c:pt>
                <c:pt idx="7">
                  <c:v>67001.789999999994</c:v>
                </c:pt>
                <c:pt idx="8">
                  <c:v>40551.97</c:v>
                </c:pt>
                <c:pt idx="9">
                  <c:v>26565.68</c:v>
                </c:pt>
                <c:pt idx="10">
                  <c:v>31576.15</c:v>
                </c:pt>
                <c:pt idx="11">
                  <c:v>32208.93</c:v>
                </c:pt>
              </c:numCache>
            </c:numRef>
          </c:val>
          <c:smooth val="0"/>
        </c:ser>
        <c:ser>
          <c:idx val="2"/>
          <c:order val="2"/>
          <c:tx>
            <c:strRef>
              <c:f>'G. Enc Diversos'!$D$1:$D$2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Diversos'!$D$3:$D$15</c:f>
              <c:numCache>
                <c:formatCode>General</c:formatCode>
                <c:ptCount val="12"/>
                <c:pt idx="0">
                  <c:v>39303.51</c:v>
                </c:pt>
                <c:pt idx="1">
                  <c:v>27338.83</c:v>
                </c:pt>
                <c:pt idx="2">
                  <c:v>82446.259999999995</c:v>
                </c:pt>
                <c:pt idx="3">
                  <c:v>-42130.93</c:v>
                </c:pt>
                <c:pt idx="4">
                  <c:v>17233.560000000001</c:v>
                </c:pt>
                <c:pt idx="5">
                  <c:v>24012.13</c:v>
                </c:pt>
                <c:pt idx="6">
                  <c:v>22141.279999999999</c:v>
                </c:pt>
                <c:pt idx="7">
                  <c:v>24878.06</c:v>
                </c:pt>
                <c:pt idx="8">
                  <c:v>22724.47</c:v>
                </c:pt>
                <c:pt idx="9">
                  <c:v>24379.67</c:v>
                </c:pt>
                <c:pt idx="10">
                  <c:v>21705.93</c:v>
                </c:pt>
                <c:pt idx="11">
                  <c:v>112087.39</c:v>
                </c:pt>
              </c:numCache>
            </c:numRef>
          </c:val>
          <c:smooth val="0"/>
        </c:ser>
        <c:ser>
          <c:idx val="3"/>
          <c:order val="3"/>
          <c:tx>
            <c:strRef>
              <c:f>'G. Enc Diversos'!$E$1:$E$2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Diversos'!$E$3:$E$15</c:f>
              <c:numCache>
                <c:formatCode>General</c:formatCode>
                <c:ptCount val="12"/>
                <c:pt idx="0">
                  <c:v>23885.94</c:v>
                </c:pt>
                <c:pt idx="1">
                  <c:v>27489.63</c:v>
                </c:pt>
                <c:pt idx="2">
                  <c:v>37596.559999999998</c:v>
                </c:pt>
                <c:pt idx="3">
                  <c:v>27127.08</c:v>
                </c:pt>
                <c:pt idx="4">
                  <c:v>27135.87</c:v>
                </c:pt>
                <c:pt idx="5">
                  <c:v>28263.040000000001</c:v>
                </c:pt>
                <c:pt idx="6">
                  <c:v>47679.59</c:v>
                </c:pt>
                <c:pt idx="7">
                  <c:v>26883.45</c:v>
                </c:pt>
                <c:pt idx="8">
                  <c:v>24509.79</c:v>
                </c:pt>
                <c:pt idx="9">
                  <c:v>37165.35</c:v>
                </c:pt>
                <c:pt idx="10">
                  <c:v>25461.42</c:v>
                </c:pt>
                <c:pt idx="11">
                  <c:v>26773.33</c:v>
                </c:pt>
              </c:numCache>
            </c:numRef>
          </c:val>
          <c:smooth val="0"/>
        </c:ser>
        <c:ser>
          <c:idx val="4"/>
          <c:order val="4"/>
          <c:tx>
            <c:strRef>
              <c:f>'G. Enc Diversos'!$F$1:$F$2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Diversos'!$F$3:$F$15</c:f>
              <c:numCache>
                <c:formatCode>General</c:formatCode>
                <c:ptCount val="12"/>
                <c:pt idx="0">
                  <c:v>32954.58</c:v>
                </c:pt>
                <c:pt idx="1">
                  <c:v>31970.69</c:v>
                </c:pt>
                <c:pt idx="2">
                  <c:v>36391.730000000003</c:v>
                </c:pt>
                <c:pt idx="3">
                  <c:v>32846.980000000003</c:v>
                </c:pt>
                <c:pt idx="4">
                  <c:v>34531.19</c:v>
                </c:pt>
              </c:numCache>
            </c:numRef>
          </c:val>
          <c:smooth val="0"/>
        </c:ser>
        <c:dLbls>
          <c:showLegendKey val="0"/>
          <c:showVal val="0"/>
          <c:showCatName val="0"/>
          <c:showSerName val="0"/>
          <c:showPercent val="0"/>
          <c:showBubbleSize val="0"/>
        </c:dLbls>
        <c:marker val="1"/>
        <c:smooth val="0"/>
        <c:axId val="-373561936"/>
        <c:axId val="-373559760"/>
      </c:lineChart>
      <c:catAx>
        <c:axId val="-37356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59760"/>
        <c:crosses val="autoZero"/>
        <c:auto val="1"/>
        <c:lblAlgn val="ctr"/>
        <c:lblOffset val="100"/>
        <c:noMultiLvlLbl val="0"/>
      </c:catAx>
      <c:valAx>
        <c:axId val="-37355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61936"/>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Enc Diversos!Tabela dinâmica10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Encargos Diversos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Enc Diversos'!$B$1:$B$2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Diversos'!$B$3:$B$15</c:f>
              <c:numCache>
                <c:formatCode>General</c:formatCode>
                <c:ptCount val="12"/>
                <c:pt idx="0">
                  <c:v>29483.39</c:v>
                </c:pt>
                <c:pt idx="1">
                  <c:v>25466.97</c:v>
                </c:pt>
                <c:pt idx="2">
                  <c:v>26573.15</c:v>
                </c:pt>
                <c:pt idx="3">
                  <c:v>28193.65</c:v>
                </c:pt>
                <c:pt idx="4">
                  <c:v>26266.27</c:v>
                </c:pt>
                <c:pt idx="5">
                  <c:v>26681.05</c:v>
                </c:pt>
                <c:pt idx="6">
                  <c:v>20038.93</c:v>
                </c:pt>
                <c:pt idx="7">
                  <c:v>22687.63</c:v>
                </c:pt>
                <c:pt idx="8">
                  <c:v>18388.53</c:v>
                </c:pt>
                <c:pt idx="9">
                  <c:v>21914.01</c:v>
                </c:pt>
                <c:pt idx="10">
                  <c:v>52095.56</c:v>
                </c:pt>
                <c:pt idx="11">
                  <c:v>22012.47</c:v>
                </c:pt>
              </c:numCache>
            </c:numRef>
          </c:val>
          <c:smooth val="0"/>
        </c:ser>
        <c:ser>
          <c:idx val="1"/>
          <c:order val="1"/>
          <c:tx>
            <c:strRef>
              <c:f>'G. Enc Diversos'!$C$1:$C$2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Diversos'!$C$3:$C$15</c:f>
              <c:numCache>
                <c:formatCode>General</c:formatCode>
                <c:ptCount val="12"/>
                <c:pt idx="0">
                  <c:v>29397.46</c:v>
                </c:pt>
                <c:pt idx="1">
                  <c:v>36739.43</c:v>
                </c:pt>
                <c:pt idx="2">
                  <c:v>24878.61</c:v>
                </c:pt>
                <c:pt idx="3">
                  <c:v>29768.27</c:v>
                </c:pt>
                <c:pt idx="4">
                  <c:v>34544.300000000003</c:v>
                </c:pt>
                <c:pt idx="5">
                  <c:v>29607.37</c:v>
                </c:pt>
                <c:pt idx="6">
                  <c:v>25320.46</c:v>
                </c:pt>
                <c:pt idx="7">
                  <c:v>67001.789999999994</c:v>
                </c:pt>
                <c:pt idx="8">
                  <c:v>40551.97</c:v>
                </c:pt>
                <c:pt idx="9">
                  <c:v>26565.68</c:v>
                </c:pt>
                <c:pt idx="10">
                  <c:v>31576.15</c:v>
                </c:pt>
                <c:pt idx="11">
                  <c:v>32208.93</c:v>
                </c:pt>
              </c:numCache>
            </c:numRef>
          </c:val>
          <c:smooth val="0"/>
        </c:ser>
        <c:ser>
          <c:idx val="2"/>
          <c:order val="2"/>
          <c:tx>
            <c:strRef>
              <c:f>'G. Enc Diversos'!$D$1:$D$2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Diversos'!$D$3:$D$15</c:f>
              <c:numCache>
                <c:formatCode>General</c:formatCode>
                <c:ptCount val="12"/>
                <c:pt idx="0">
                  <c:v>39303.51</c:v>
                </c:pt>
                <c:pt idx="1">
                  <c:v>27338.83</c:v>
                </c:pt>
                <c:pt idx="2">
                  <c:v>82446.259999999995</c:v>
                </c:pt>
                <c:pt idx="3">
                  <c:v>-42130.93</c:v>
                </c:pt>
                <c:pt idx="4">
                  <c:v>17233.560000000001</c:v>
                </c:pt>
                <c:pt idx="5">
                  <c:v>24012.13</c:v>
                </c:pt>
                <c:pt idx="6">
                  <c:v>22141.279999999999</c:v>
                </c:pt>
                <c:pt idx="7">
                  <c:v>24878.06</c:v>
                </c:pt>
                <c:pt idx="8">
                  <c:v>22724.47</c:v>
                </c:pt>
                <c:pt idx="9">
                  <c:v>24379.67</c:v>
                </c:pt>
                <c:pt idx="10">
                  <c:v>21705.93</c:v>
                </c:pt>
                <c:pt idx="11">
                  <c:v>112087.39</c:v>
                </c:pt>
              </c:numCache>
            </c:numRef>
          </c:val>
          <c:smooth val="0"/>
        </c:ser>
        <c:ser>
          <c:idx val="3"/>
          <c:order val="3"/>
          <c:tx>
            <c:strRef>
              <c:f>'G. Enc Diversos'!$E$1:$E$2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Diversos'!$E$3:$E$15</c:f>
              <c:numCache>
                <c:formatCode>General</c:formatCode>
                <c:ptCount val="12"/>
                <c:pt idx="0">
                  <c:v>23885.94</c:v>
                </c:pt>
                <c:pt idx="1">
                  <c:v>27489.63</c:v>
                </c:pt>
                <c:pt idx="2">
                  <c:v>37596.559999999998</c:v>
                </c:pt>
                <c:pt idx="3">
                  <c:v>27127.08</c:v>
                </c:pt>
                <c:pt idx="4">
                  <c:v>27135.87</c:v>
                </c:pt>
                <c:pt idx="5">
                  <c:v>28263.040000000001</c:v>
                </c:pt>
                <c:pt idx="6">
                  <c:v>47679.59</c:v>
                </c:pt>
                <c:pt idx="7">
                  <c:v>26883.45</c:v>
                </c:pt>
                <c:pt idx="8">
                  <c:v>24509.79</c:v>
                </c:pt>
                <c:pt idx="9">
                  <c:v>37165.35</c:v>
                </c:pt>
                <c:pt idx="10">
                  <c:v>25461.42</c:v>
                </c:pt>
                <c:pt idx="11">
                  <c:v>26773.33</c:v>
                </c:pt>
              </c:numCache>
            </c:numRef>
          </c:val>
          <c:smooth val="0"/>
        </c:ser>
        <c:ser>
          <c:idx val="4"/>
          <c:order val="4"/>
          <c:tx>
            <c:strRef>
              <c:f>'G. Enc Diversos'!$F$1:$F$2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Diversos'!$F$3:$F$15</c:f>
              <c:numCache>
                <c:formatCode>General</c:formatCode>
                <c:ptCount val="12"/>
                <c:pt idx="0">
                  <c:v>32954.58</c:v>
                </c:pt>
                <c:pt idx="1">
                  <c:v>31970.69</c:v>
                </c:pt>
                <c:pt idx="2">
                  <c:v>36391.730000000003</c:v>
                </c:pt>
                <c:pt idx="3">
                  <c:v>32846.980000000003</c:v>
                </c:pt>
                <c:pt idx="4">
                  <c:v>34531.19</c:v>
                </c:pt>
              </c:numCache>
            </c:numRef>
          </c:val>
          <c:smooth val="0"/>
        </c:ser>
        <c:dLbls>
          <c:showLegendKey val="0"/>
          <c:showVal val="0"/>
          <c:showCatName val="0"/>
          <c:showSerName val="0"/>
          <c:showPercent val="0"/>
          <c:showBubbleSize val="0"/>
        </c:dLbls>
        <c:marker val="1"/>
        <c:smooth val="0"/>
        <c:axId val="-373563568"/>
        <c:axId val="-373561392"/>
      </c:lineChart>
      <c:catAx>
        <c:axId val="-37356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61392"/>
        <c:crosses val="autoZero"/>
        <c:auto val="1"/>
        <c:lblAlgn val="ctr"/>
        <c:lblOffset val="100"/>
        <c:noMultiLvlLbl val="0"/>
      </c:catAx>
      <c:valAx>
        <c:axId val="-37356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63568"/>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FA!Tabela dinâmica12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Fundo de Apoio</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FA'!$B$1:$B$2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FA'!$A$3:$A$15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FA'!$B$3:$B$15</c:f>
              <c:numCache>
                <c:formatCode>General</c:formatCode>
                <c:ptCount val="12"/>
                <c:pt idx="0">
                  <c:v>35442</c:v>
                </c:pt>
                <c:pt idx="1">
                  <c:v>35442</c:v>
                </c:pt>
                <c:pt idx="2">
                  <c:v>35442</c:v>
                </c:pt>
                <c:pt idx="3">
                  <c:v>35442</c:v>
                </c:pt>
                <c:pt idx="4">
                  <c:v>35442</c:v>
                </c:pt>
                <c:pt idx="5">
                  <c:v>35442</c:v>
                </c:pt>
                <c:pt idx="6">
                  <c:v>35442</c:v>
                </c:pt>
                <c:pt idx="7">
                  <c:v>35442</c:v>
                </c:pt>
                <c:pt idx="8">
                  <c:v>35442</c:v>
                </c:pt>
                <c:pt idx="9">
                  <c:v>35442</c:v>
                </c:pt>
                <c:pt idx="10">
                  <c:v>35442</c:v>
                </c:pt>
                <c:pt idx="11">
                  <c:v>35442</c:v>
                </c:pt>
              </c:numCache>
            </c:numRef>
          </c:val>
          <c:smooth val="0"/>
        </c:ser>
        <c:ser>
          <c:idx val="1"/>
          <c:order val="1"/>
          <c:tx>
            <c:strRef>
              <c:f>'G. FA'!$C$1:$C$2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FA'!$A$3:$A$15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FA'!$C$3:$C$15</c:f>
              <c:numCache>
                <c:formatCode>General</c:formatCode>
                <c:ptCount val="12"/>
                <c:pt idx="0">
                  <c:v>25194.080000000002</c:v>
                </c:pt>
                <c:pt idx="1">
                  <c:v>71605.16</c:v>
                </c:pt>
                <c:pt idx="2">
                  <c:v>25194.080000000002</c:v>
                </c:pt>
                <c:pt idx="3">
                  <c:v>25194.080000000002</c:v>
                </c:pt>
                <c:pt idx="4">
                  <c:v>25194.080000000002</c:v>
                </c:pt>
                <c:pt idx="5">
                  <c:v>25194.080000000002</c:v>
                </c:pt>
                <c:pt idx="6">
                  <c:v>25194.080000000002</c:v>
                </c:pt>
                <c:pt idx="7">
                  <c:v>25194.080000000002</c:v>
                </c:pt>
                <c:pt idx="8">
                  <c:v>25194.080000000002</c:v>
                </c:pt>
                <c:pt idx="9">
                  <c:v>25194.080000000002</c:v>
                </c:pt>
                <c:pt idx="10">
                  <c:v>0</c:v>
                </c:pt>
                <c:pt idx="11">
                  <c:v>0</c:v>
                </c:pt>
              </c:numCache>
            </c:numRef>
          </c:val>
          <c:smooth val="0"/>
        </c:ser>
        <c:ser>
          <c:idx val="2"/>
          <c:order val="2"/>
          <c:tx>
            <c:strRef>
              <c:f>'G. FA'!$D$1:$D$2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FA'!$A$3:$A$15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FA'!$D$3:$D$15</c:f>
              <c:numCache>
                <c:formatCode>General</c:formatCode>
                <c:ptCount val="12"/>
                <c:pt idx="0">
                  <c:v>25823.96</c:v>
                </c:pt>
                <c:pt idx="1">
                  <c:v>25823.96</c:v>
                </c:pt>
                <c:pt idx="2">
                  <c:v>25823.96</c:v>
                </c:pt>
                <c:pt idx="3">
                  <c:v>12911.98</c:v>
                </c:pt>
                <c:pt idx="4">
                  <c:v>12911.98</c:v>
                </c:pt>
                <c:pt idx="5">
                  <c:v>25823.96</c:v>
                </c:pt>
                <c:pt idx="6">
                  <c:v>25823.96</c:v>
                </c:pt>
                <c:pt idx="7">
                  <c:v>25823.96</c:v>
                </c:pt>
                <c:pt idx="8">
                  <c:v>25823.97</c:v>
                </c:pt>
                <c:pt idx="9">
                  <c:v>25823.97</c:v>
                </c:pt>
                <c:pt idx="10">
                  <c:v>25823.97</c:v>
                </c:pt>
                <c:pt idx="11">
                  <c:v>25823.95</c:v>
                </c:pt>
              </c:numCache>
            </c:numRef>
          </c:val>
          <c:smooth val="0"/>
        </c:ser>
        <c:ser>
          <c:idx val="3"/>
          <c:order val="3"/>
          <c:tx>
            <c:strRef>
              <c:f>'G. FA'!$E$1:$E$2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FA'!$A$3:$A$15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FA'!$E$3:$E$15</c:f>
              <c:numCache>
                <c:formatCode>General</c:formatCode>
                <c:ptCount val="12"/>
                <c:pt idx="0">
                  <c:v>29194.43</c:v>
                </c:pt>
                <c:pt idx="1">
                  <c:v>29194.43</c:v>
                </c:pt>
                <c:pt idx="2">
                  <c:v>29194.43</c:v>
                </c:pt>
                <c:pt idx="3">
                  <c:v>29194.43</c:v>
                </c:pt>
                <c:pt idx="4">
                  <c:v>29194.43</c:v>
                </c:pt>
                <c:pt idx="5">
                  <c:v>29194.43</c:v>
                </c:pt>
                <c:pt idx="6">
                  <c:v>29194.43</c:v>
                </c:pt>
                <c:pt idx="7">
                  <c:v>29194.43</c:v>
                </c:pt>
                <c:pt idx="8">
                  <c:v>14422.42</c:v>
                </c:pt>
                <c:pt idx="9">
                  <c:v>14422.42</c:v>
                </c:pt>
                <c:pt idx="10">
                  <c:v>14422.42</c:v>
                </c:pt>
                <c:pt idx="11">
                  <c:v>14422.41</c:v>
                </c:pt>
              </c:numCache>
            </c:numRef>
          </c:val>
          <c:smooth val="0"/>
        </c:ser>
        <c:ser>
          <c:idx val="4"/>
          <c:order val="4"/>
          <c:tx>
            <c:strRef>
              <c:f>'G. FA'!$F$1:$F$2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FA'!$A$3:$A$15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FA'!$F$3:$F$15</c:f>
              <c:numCache>
                <c:formatCode>General</c:formatCode>
                <c:ptCount val="12"/>
                <c:pt idx="0">
                  <c:v>22762.57</c:v>
                </c:pt>
                <c:pt idx="1">
                  <c:v>22762.57</c:v>
                </c:pt>
                <c:pt idx="2">
                  <c:v>22762.57</c:v>
                </c:pt>
                <c:pt idx="3">
                  <c:v>22762.57</c:v>
                </c:pt>
                <c:pt idx="4">
                  <c:v>22762.57</c:v>
                </c:pt>
              </c:numCache>
            </c:numRef>
          </c:val>
          <c:smooth val="0"/>
        </c:ser>
        <c:dLbls>
          <c:showLegendKey val="0"/>
          <c:showVal val="0"/>
          <c:showCatName val="0"/>
          <c:showSerName val="0"/>
          <c:showPercent val="0"/>
          <c:showBubbleSize val="0"/>
        </c:dLbls>
        <c:marker val="1"/>
        <c:smooth val="0"/>
        <c:axId val="-373564656"/>
        <c:axId val="-373560848"/>
      </c:lineChart>
      <c:catAx>
        <c:axId val="-37356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60848"/>
        <c:crosses val="autoZero"/>
        <c:auto val="1"/>
        <c:lblAlgn val="ctr"/>
        <c:lblOffset val="100"/>
        <c:noMultiLvlLbl val="0"/>
      </c:catAx>
      <c:valAx>
        <c:axId val="-37356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64656"/>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Convenios!Tabela dinâmica13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Convênio e Repasses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Convenios'!$B$1:$B$2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Convenios'!$A$3:$A$15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Convenios'!$B$3:$B$15</c:f>
              <c:numCache>
                <c:formatCode>General</c:formatCode>
                <c:ptCount val="12"/>
                <c:pt idx="0">
                  <c:v>0</c:v>
                </c:pt>
                <c:pt idx="1">
                  <c:v>0</c:v>
                </c:pt>
                <c:pt idx="2">
                  <c:v>0</c:v>
                </c:pt>
                <c:pt idx="3">
                  <c:v>0</c:v>
                </c:pt>
                <c:pt idx="4">
                  <c:v>0</c:v>
                </c:pt>
                <c:pt idx="5">
                  <c:v>0</c:v>
                </c:pt>
                <c:pt idx="6">
                  <c:v>0</c:v>
                </c:pt>
                <c:pt idx="7">
                  <c:v>225148.5</c:v>
                </c:pt>
                <c:pt idx="8">
                  <c:v>0</c:v>
                </c:pt>
                <c:pt idx="9">
                  <c:v>3000</c:v>
                </c:pt>
                <c:pt idx="10">
                  <c:v>0</c:v>
                </c:pt>
                <c:pt idx="11">
                  <c:v>201312.14</c:v>
                </c:pt>
              </c:numCache>
            </c:numRef>
          </c:val>
          <c:smooth val="0"/>
        </c:ser>
        <c:ser>
          <c:idx val="1"/>
          <c:order val="1"/>
          <c:tx>
            <c:strRef>
              <c:f>'G.  Convenios'!$C$1:$C$2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Convenios'!$A$3:$A$15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Convenios'!$C$3:$C$15</c:f>
              <c:numCache>
                <c:formatCode>General</c:formatCode>
                <c:ptCount val="12"/>
                <c:pt idx="0">
                  <c:v>5000</c:v>
                </c:pt>
                <c:pt idx="1">
                  <c:v>0</c:v>
                </c:pt>
                <c:pt idx="2">
                  <c:v>0</c:v>
                </c:pt>
                <c:pt idx="3">
                  <c:v>0</c:v>
                </c:pt>
                <c:pt idx="4">
                  <c:v>260800</c:v>
                </c:pt>
                <c:pt idx="5">
                  <c:v>130000</c:v>
                </c:pt>
                <c:pt idx="6">
                  <c:v>4369.63</c:v>
                </c:pt>
                <c:pt idx="7">
                  <c:v>1105.1500000000001</c:v>
                </c:pt>
                <c:pt idx="8">
                  <c:v>5000</c:v>
                </c:pt>
                <c:pt idx="9">
                  <c:v>56400</c:v>
                </c:pt>
                <c:pt idx="10">
                  <c:v>0</c:v>
                </c:pt>
                <c:pt idx="11">
                  <c:v>164304.84999999998</c:v>
                </c:pt>
              </c:numCache>
            </c:numRef>
          </c:val>
          <c:smooth val="0"/>
        </c:ser>
        <c:ser>
          <c:idx val="2"/>
          <c:order val="2"/>
          <c:tx>
            <c:strRef>
              <c:f>'G.  Convenios'!$D$1:$D$2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Convenios'!$A$3:$A$15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Convenios'!$D$3:$D$15</c:f>
              <c:numCache>
                <c:formatCode>General</c:formatCode>
                <c:ptCount val="12"/>
                <c:pt idx="0">
                  <c:v>0</c:v>
                </c:pt>
                <c:pt idx="1">
                  <c:v>5500</c:v>
                </c:pt>
                <c:pt idx="2">
                  <c:v>0</c:v>
                </c:pt>
                <c:pt idx="3">
                  <c:v>0</c:v>
                </c:pt>
                <c:pt idx="4">
                  <c:v>0</c:v>
                </c:pt>
                <c:pt idx="5">
                  <c:v>115433.95</c:v>
                </c:pt>
                <c:pt idx="6">
                  <c:v>85017</c:v>
                </c:pt>
                <c:pt idx="7">
                  <c:v>0</c:v>
                </c:pt>
                <c:pt idx="8">
                  <c:v>117371.15</c:v>
                </c:pt>
                <c:pt idx="9">
                  <c:v>69690</c:v>
                </c:pt>
                <c:pt idx="10">
                  <c:v>121596.25</c:v>
                </c:pt>
                <c:pt idx="11">
                  <c:v>93229.2</c:v>
                </c:pt>
              </c:numCache>
            </c:numRef>
          </c:val>
          <c:smooth val="0"/>
        </c:ser>
        <c:ser>
          <c:idx val="3"/>
          <c:order val="3"/>
          <c:tx>
            <c:strRef>
              <c:f>'G.  Convenios'!$E$1:$E$2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Convenios'!$A$3:$A$15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Convenios'!$E$3:$E$15</c:f>
              <c:numCache>
                <c:formatCode>General</c:formatCode>
                <c:ptCount val="12"/>
                <c:pt idx="0">
                  <c:v>0</c:v>
                </c:pt>
                <c:pt idx="1">
                  <c:v>0</c:v>
                </c:pt>
                <c:pt idx="2">
                  <c:v>0</c:v>
                </c:pt>
                <c:pt idx="3">
                  <c:v>0</c:v>
                </c:pt>
                <c:pt idx="4">
                  <c:v>0</c:v>
                </c:pt>
                <c:pt idx="5">
                  <c:v>0</c:v>
                </c:pt>
                <c:pt idx="6">
                  <c:v>0</c:v>
                </c:pt>
                <c:pt idx="7">
                  <c:v>0</c:v>
                </c:pt>
                <c:pt idx="8">
                  <c:v>30000</c:v>
                </c:pt>
                <c:pt idx="9">
                  <c:v>5000</c:v>
                </c:pt>
                <c:pt idx="10">
                  <c:v>75421.8</c:v>
                </c:pt>
                <c:pt idx="11">
                  <c:v>106181.32</c:v>
                </c:pt>
              </c:numCache>
            </c:numRef>
          </c:val>
          <c:smooth val="0"/>
        </c:ser>
        <c:ser>
          <c:idx val="4"/>
          <c:order val="4"/>
          <c:tx>
            <c:strRef>
              <c:f>'G.  Convenios'!$F$1:$F$2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Convenios'!$A$3:$A$15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Convenios'!$F$3:$F$15</c:f>
              <c:numCache>
                <c:formatCode>General</c:formatCode>
                <c:ptCount val="12"/>
                <c:pt idx="0">
                  <c:v>0</c:v>
                </c:pt>
                <c:pt idx="1">
                  <c:v>0</c:v>
                </c:pt>
                <c:pt idx="2">
                  <c:v>0</c:v>
                </c:pt>
                <c:pt idx="3">
                  <c:v>0</c:v>
                </c:pt>
                <c:pt idx="4">
                  <c:v>50558.400000000001</c:v>
                </c:pt>
              </c:numCache>
            </c:numRef>
          </c:val>
          <c:smooth val="0"/>
        </c:ser>
        <c:dLbls>
          <c:showLegendKey val="0"/>
          <c:showVal val="0"/>
          <c:showCatName val="0"/>
          <c:showSerName val="0"/>
          <c:showPercent val="0"/>
          <c:showBubbleSize val="0"/>
        </c:dLbls>
        <c:marker val="1"/>
        <c:smooth val="0"/>
        <c:axId val="-373555408"/>
        <c:axId val="-373560304"/>
      </c:lineChart>
      <c:catAx>
        <c:axId val="-37355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60304"/>
        <c:crosses val="autoZero"/>
        <c:auto val="1"/>
        <c:lblAlgn val="ctr"/>
        <c:lblOffset val="100"/>
        <c:noMultiLvlLbl val="0"/>
      </c:catAx>
      <c:valAx>
        <c:axId val="-373560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55408"/>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Out Desp Cor!Tabela dinâmica14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Outras Despesas Correntes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Out Desp Cor'!$B$1:$B$2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Out Desp Cor'!$A$3:$A$15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 Desp Cor'!$B$3:$B$15</c:f>
              <c:numCache>
                <c:formatCode>General</c:formatCode>
                <c:ptCount val="12"/>
                <c:pt idx="0">
                  <c:v>0</c:v>
                </c:pt>
                <c:pt idx="1">
                  <c:v>0</c:v>
                </c:pt>
                <c:pt idx="2">
                  <c:v>0</c:v>
                </c:pt>
                <c:pt idx="3">
                  <c:v>0</c:v>
                </c:pt>
                <c:pt idx="4">
                  <c:v>0</c:v>
                </c:pt>
                <c:pt idx="5">
                  <c:v>0</c:v>
                </c:pt>
                <c:pt idx="6">
                  <c:v>0</c:v>
                </c:pt>
                <c:pt idx="7">
                  <c:v>0</c:v>
                </c:pt>
                <c:pt idx="8">
                  <c:v>0</c:v>
                </c:pt>
                <c:pt idx="9">
                  <c:v>0</c:v>
                </c:pt>
                <c:pt idx="10">
                  <c:v>54364.06</c:v>
                </c:pt>
                <c:pt idx="11">
                  <c:v>0</c:v>
                </c:pt>
              </c:numCache>
            </c:numRef>
          </c:val>
          <c:smooth val="0"/>
        </c:ser>
        <c:ser>
          <c:idx val="1"/>
          <c:order val="1"/>
          <c:tx>
            <c:strRef>
              <c:f>'G. Out Desp Cor'!$C$1:$C$2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Out Desp Cor'!$A$3:$A$15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 Desp Cor'!$C$3:$C$15</c:f>
              <c:numCache>
                <c:formatCode>General</c:formatCode>
                <c:ptCount val="12"/>
                <c:pt idx="0">
                  <c:v>0</c:v>
                </c:pt>
                <c:pt idx="1">
                  <c:v>0</c:v>
                </c:pt>
                <c:pt idx="3">
                  <c:v>0</c:v>
                </c:pt>
                <c:pt idx="4">
                  <c:v>0</c:v>
                </c:pt>
                <c:pt idx="5">
                  <c:v>0</c:v>
                </c:pt>
                <c:pt idx="6">
                  <c:v>0</c:v>
                </c:pt>
                <c:pt idx="7">
                  <c:v>0</c:v>
                </c:pt>
                <c:pt idx="8">
                  <c:v>0</c:v>
                </c:pt>
                <c:pt idx="9">
                  <c:v>0</c:v>
                </c:pt>
                <c:pt idx="10">
                  <c:v>0</c:v>
                </c:pt>
                <c:pt idx="11">
                  <c:v>0</c:v>
                </c:pt>
              </c:numCache>
            </c:numRef>
          </c:val>
          <c:smooth val="0"/>
        </c:ser>
        <c:ser>
          <c:idx val="2"/>
          <c:order val="2"/>
          <c:tx>
            <c:strRef>
              <c:f>'G. Out Desp Cor'!$D$1:$D$2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Out Desp Cor'!$A$3:$A$15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 Desp Cor'!$D$3:$D$15</c:f>
              <c:numCache>
                <c:formatCode>General</c:formatCode>
                <c:ptCount val="12"/>
                <c:pt idx="0">
                  <c:v>0</c:v>
                </c:pt>
                <c:pt idx="1">
                  <c:v>0</c:v>
                </c:pt>
                <c:pt idx="2">
                  <c:v>0</c:v>
                </c:pt>
                <c:pt idx="3">
                  <c:v>0</c:v>
                </c:pt>
                <c:pt idx="4">
                  <c:v>0</c:v>
                </c:pt>
                <c:pt idx="5">
                  <c:v>0</c:v>
                </c:pt>
                <c:pt idx="6">
                  <c:v>0</c:v>
                </c:pt>
                <c:pt idx="7">
                  <c:v>0</c:v>
                </c:pt>
                <c:pt idx="8">
                  <c:v>0</c:v>
                </c:pt>
                <c:pt idx="9">
                  <c:v>0</c:v>
                </c:pt>
                <c:pt idx="10">
                  <c:v>0</c:v>
                </c:pt>
              </c:numCache>
            </c:numRef>
          </c:val>
          <c:smooth val="0"/>
        </c:ser>
        <c:ser>
          <c:idx val="3"/>
          <c:order val="3"/>
          <c:tx>
            <c:strRef>
              <c:f>'G. Out Desp Cor'!$E$1:$E$2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Out Desp Cor'!$A$3:$A$15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 Desp Cor'!$E$3:$E$15</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ser>
        <c:ser>
          <c:idx val="4"/>
          <c:order val="4"/>
          <c:tx>
            <c:strRef>
              <c:f>'G. Out Desp Cor'!$F$1:$F$2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Out Desp Cor'!$A$3:$A$15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 Desp Cor'!$F$3:$F$15</c:f>
              <c:numCache>
                <c:formatCode>General</c:formatCode>
                <c:ptCount val="12"/>
                <c:pt idx="0">
                  <c:v>0</c:v>
                </c:pt>
                <c:pt idx="1">
                  <c:v>0</c:v>
                </c:pt>
                <c:pt idx="2">
                  <c:v>0</c:v>
                </c:pt>
                <c:pt idx="3">
                  <c:v>0</c:v>
                </c:pt>
                <c:pt idx="4">
                  <c:v>0</c:v>
                </c:pt>
              </c:numCache>
            </c:numRef>
          </c:val>
          <c:smooth val="0"/>
        </c:ser>
        <c:dLbls>
          <c:showLegendKey val="0"/>
          <c:showVal val="0"/>
          <c:showCatName val="0"/>
          <c:showSerName val="0"/>
          <c:showPercent val="0"/>
          <c:showBubbleSize val="0"/>
        </c:dLbls>
        <c:marker val="1"/>
        <c:smooth val="0"/>
        <c:axId val="-373567376"/>
        <c:axId val="-373553232"/>
      </c:lineChart>
      <c:catAx>
        <c:axId val="-37356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53232"/>
        <c:crosses val="autoZero"/>
        <c:auto val="1"/>
        <c:lblAlgn val="ctr"/>
        <c:lblOffset val="100"/>
        <c:noMultiLvlLbl val="0"/>
      </c:catAx>
      <c:valAx>
        <c:axId val="-373553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67376"/>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Invest!Tabela dinâmica15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Investimentos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Invest'!$B$1:$B$2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Invest'!$A$3:$A$15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Invest'!$B$3:$B$15</c:f>
              <c:numCache>
                <c:formatCode>General</c:formatCode>
                <c:ptCount val="12"/>
                <c:pt idx="0">
                  <c:v>0</c:v>
                </c:pt>
                <c:pt idx="1">
                  <c:v>0</c:v>
                </c:pt>
                <c:pt idx="2">
                  <c:v>22765</c:v>
                </c:pt>
                <c:pt idx="3">
                  <c:v>0</c:v>
                </c:pt>
                <c:pt idx="4">
                  <c:v>0</c:v>
                </c:pt>
                <c:pt idx="5">
                  <c:v>0</c:v>
                </c:pt>
                <c:pt idx="6">
                  <c:v>70200</c:v>
                </c:pt>
                <c:pt idx="7">
                  <c:v>1790</c:v>
                </c:pt>
                <c:pt idx="8">
                  <c:v>0</c:v>
                </c:pt>
                <c:pt idx="9">
                  <c:v>0</c:v>
                </c:pt>
                <c:pt idx="10">
                  <c:v>49308</c:v>
                </c:pt>
                <c:pt idx="11">
                  <c:v>86471.1</c:v>
                </c:pt>
              </c:numCache>
            </c:numRef>
          </c:val>
          <c:smooth val="0"/>
        </c:ser>
        <c:ser>
          <c:idx val="1"/>
          <c:order val="1"/>
          <c:tx>
            <c:strRef>
              <c:f>'G.  Invest'!$C$1:$C$2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Invest'!$A$3:$A$15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Invest'!$C$3:$C$15</c:f>
              <c:numCache>
                <c:formatCode>General</c:formatCode>
                <c:ptCount val="12"/>
                <c:pt idx="0">
                  <c:v>0</c:v>
                </c:pt>
                <c:pt idx="1">
                  <c:v>0</c:v>
                </c:pt>
                <c:pt idx="3">
                  <c:v>30012</c:v>
                </c:pt>
                <c:pt idx="4">
                  <c:v>0</c:v>
                </c:pt>
                <c:pt idx="5">
                  <c:v>30830</c:v>
                </c:pt>
                <c:pt idx="6">
                  <c:v>0</c:v>
                </c:pt>
                <c:pt idx="8">
                  <c:v>12246</c:v>
                </c:pt>
                <c:pt idx="9">
                  <c:v>2555.33</c:v>
                </c:pt>
                <c:pt idx="10">
                  <c:v>16462.46</c:v>
                </c:pt>
                <c:pt idx="11">
                  <c:v>312989.98</c:v>
                </c:pt>
              </c:numCache>
            </c:numRef>
          </c:val>
          <c:smooth val="0"/>
        </c:ser>
        <c:ser>
          <c:idx val="2"/>
          <c:order val="2"/>
          <c:tx>
            <c:strRef>
              <c:f>'G.  Invest'!$D$1:$D$2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Invest'!$A$3:$A$15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Invest'!$D$3:$D$15</c:f>
              <c:numCache>
                <c:formatCode>General</c:formatCode>
                <c:ptCount val="12"/>
                <c:pt idx="0">
                  <c:v>0</c:v>
                </c:pt>
                <c:pt idx="1">
                  <c:v>0</c:v>
                </c:pt>
                <c:pt idx="2">
                  <c:v>0</c:v>
                </c:pt>
                <c:pt idx="3">
                  <c:v>0</c:v>
                </c:pt>
                <c:pt idx="4">
                  <c:v>0</c:v>
                </c:pt>
                <c:pt idx="5">
                  <c:v>0</c:v>
                </c:pt>
                <c:pt idx="6">
                  <c:v>0</c:v>
                </c:pt>
                <c:pt idx="7">
                  <c:v>0</c:v>
                </c:pt>
                <c:pt idx="8">
                  <c:v>0</c:v>
                </c:pt>
                <c:pt idx="9">
                  <c:v>0</c:v>
                </c:pt>
                <c:pt idx="10">
                  <c:v>19614.45</c:v>
                </c:pt>
                <c:pt idx="11">
                  <c:v>118274.01</c:v>
                </c:pt>
              </c:numCache>
            </c:numRef>
          </c:val>
          <c:smooth val="0"/>
        </c:ser>
        <c:ser>
          <c:idx val="3"/>
          <c:order val="3"/>
          <c:tx>
            <c:strRef>
              <c:f>'G.  Invest'!$E$1:$E$2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Invest'!$A$3:$A$15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Invest'!$E$3:$E$15</c:f>
              <c:numCache>
                <c:formatCode>General</c:formatCode>
                <c:ptCount val="12"/>
                <c:pt idx="0">
                  <c:v>0</c:v>
                </c:pt>
                <c:pt idx="1">
                  <c:v>2379.94</c:v>
                </c:pt>
                <c:pt idx="2">
                  <c:v>29385.38</c:v>
                </c:pt>
                <c:pt idx="3">
                  <c:v>15223.39</c:v>
                </c:pt>
                <c:pt idx="4">
                  <c:v>15362.92</c:v>
                </c:pt>
                <c:pt idx="5">
                  <c:v>15727.46</c:v>
                </c:pt>
                <c:pt idx="6">
                  <c:v>690</c:v>
                </c:pt>
                <c:pt idx="7">
                  <c:v>0</c:v>
                </c:pt>
                <c:pt idx="8">
                  <c:v>0</c:v>
                </c:pt>
                <c:pt idx="9">
                  <c:v>21184.98</c:v>
                </c:pt>
                <c:pt idx="10">
                  <c:v>21849.56</c:v>
                </c:pt>
                <c:pt idx="11">
                  <c:v>17583.28</c:v>
                </c:pt>
              </c:numCache>
            </c:numRef>
          </c:val>
          <c:smooth val="0"/>
        </c:ser>
        <c:ser>
          <c:idx val="4"/>
          <c:order val="4"/>
          <c:tx>
            <c:strRef>
              <c:f>'G.  Invest'!$F$1:$F$2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Invest'!$A$3:$A$15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Invest'!$F$3:$F$15</c:f>
              <c:numCache>
                <c:formatCode>General</c:formatCode>
                <c:ptCount val="12"/>
                <c:pt idx="0">
                  <c:v>0</c:v>
                </c:pt>
                <c:pt idx="1">
                  <c:v>0</c:v>
                </c:pt>
                <c:pt idx="2">
                  <c:v>0</c:v>
                </c:pt>
                <c:pt idx="3">
                  <c:v>1130</c:v>
                </c:pt>
                <c:pt idx="4">
                  <c:v>32800</c:v>
                </c:pt>
              </c:numCache>
            </c:numRef>
          </c:val>
          <c:smooth val="0"/>
        </c:ser>
        <c:dLbls>
          <c:showLegendKey val="0"/>
          <c:showVal val="0"/>
          <c:showCatName val="0"/>
          <c:showSerName val="0"/>
          <c:showPercent val="0"/>
          <c:showBubbleSize val="0"/>
        </c:dLbls>
        <c:marker val="1"/>
        <c:smooth val="0"/>
        <c:axId val="-373554864"/>
        <c:axId val="-373554320"/>
      </c:lineChart>
      <c:catAx>
        <c:axId val="-37355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54320"/>
        <c:crosses val="autoZero"/>
        <c:auto val="1"/>
        <c:lblAlgn val="ctr"/>
        <c:lblOffset val="100"/>
        <c:noMultiLvlLbl val="0"/>
      </c:catAx>
      <c:valAx>
        <c:axId val="-37355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54864"/>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Despesa!Tabela dinâmica10</c:name>
    <c:fmtId val="-1"/>
  </c:pivotSource>
  <c:chart>
    <c:title>
      <c:tx>
        <c:rich>
          <a:bodyPr/>
          <a:lstStyle/>
          <a:p>
            <a:pPr>
              <a:defRPr/>
            </a:pPr>
            <a:r>
              <a:rPr lang="pt-BR"/>
              <a:t>Despesa</a:t>
            </a:r>
            <a:r>
              <a:rPr lang="pt-BR" baseline="0"/>
              <a:t> Total</a:t>
            </a:r>
            <a:endParaRPr lang="pt-BR"/>
          </a:p>
        </c:rich>
      </c:tx>
      <c:layout>
        <c:manualLayout>
          <c:xMode val="edge"/>
          <c:yMode val="edge"/>
          <c:x val="0.43008648122416071"/>
          <c:y val="1.8243458204088129E-2"/>
        </c:manualLayout>
      </c:layout>
      <c:overlay val="0"/>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w="28575" cap="rnd">
            <a:noFill/>
            <a:round/>
          </a:ln>
          <a:effectLst/>
        </c:spPr>
        <c:marker>
          <c:symbol val="none"/>
        </c:marker>
      </c:pivotFmt>
      <c:pivotFmt>
        <c:idx val="3"/>
        <c:spPr>
          <a:solidFill>
            <a:schemeClr val="accent1"/>
          </a:solidFill>
          <a:ln w="28575" cap="rnd">
            <a:noFill/>
            <a:round/>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6"/>
          </a:solidFill>
          <a:ln>
            <a:noFill/>
          </a:ln>
          <a:effectLst/>
        </c:spPr>
        <c:marker>
          <c:symbol val="none"/>
        </c:marker>
      </c:pivotFmt>
      <c:pivotFmt>
        <c:idx val="13"/>
        <c:spPr>
          <a:solidFill>
            <a:schemeClr val="accent2"/>
          </a:solidFill>
          <a:ln>
            <a:noFill/>
          </a:ln>
          <a:effectLst/>
        </c:spPr>
        <c:marker>
          <c:symbol val="none"/>
        </c:marker>
      </c:pivotFmt>
      <c:pivotFmt>
        <c:idx val="14"/>
        <c:spPr>
          <a:solidFill>
            <a:schemeClr val="accent1"/>
          </a:solidFill>
          <a:ln>
            <a:noFill/>
          </a:ln>
          <a:effectLst/>
        </c:spPr>
        <c:marker>
          <c:symbol val="none"/>
        </c:marker>
      </c:pivotFmt>
      <c:pivotFmt>
        <c:idx val="15"/>
        <c:spPr>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ln w="28575" cap="rnd">
            <a:solidFill>
              <a:schemeClr val="accent2"/>
            </a:solidFill>
            <a:round/>
          </a:ln>
          <a:effectLst/>
        </c:spPr>
        <c:marker>
          <c:symbol val="circle"/>
          <c:size val="5"/>
          <c:spPr>
            <a:solidFill>
              <a:schemeClr val="accent2"/>
            </a:solidFill>
            <a:ln w="9525">
              <a:solidFill>
                <a:schemeClr val="accent2"/>
              </a:solidFill>
            </a:ln>
            <a:effectLst/>
          </c:spPr>
        </c:marker>
      </c:pivotFmt>
      <c:pivotFmt>
        <c:idx val="17"/>
        <c:spPr>
          <a:ln w="28575" cap="rnd">
            <a:solidFill>
              <a:schemeClr val="accent3"/>
            </a:solidFill>
            <a:round/>
          </a:ln>
          <a:effectLst/>
        </c:spPr>
        <c:marker>
          <c:symbol val="circle"/>
          <c:size val="5"/>
          <c:spPr>
            <a:solidFill>
              <a:schemeClr val="accent3"/>
            </a:solidFill>
            <a:ln w="9525">
              <a:solidFill>
                <a:schemeClr val="accent3"/>
              </a:solidFill>
            </a:ln>
            <a:effectLst/>
          </c:spPr>
        </c:marker>
      </c:pivotFmt>
      <c:pivotFmt>
        <c:idx val="18"/>
      </c:pivotFmt>
      <c:pivotFmt>
        <c:idx val="19"/>
      </c:pivotFmt>
      <c:pivotFmt>
        <c:idx val="20"/>
      </c:pivotFmt>
      <c:pivotFmt>
        <c:idx val="21"/>
      </c:pivotFmt>
      <c:pivotFmt>
        <c:idx val="22"/>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pivotFmt>
      <c:pivotFmt>
        <c:idx val="64"/>
      </c:pivotFmt>
      <c:pivotFmt>
        <c:idx val="65"/>
      </c:pivotFmt>
      <c:pivotFmt>
        <c:idx val="66"/>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marker>
          <c:symbol val="none"/>
        </c:marker>
      </c:pivotFmt>
      <c:pivotFmt>
        <c:idx val="114"/>
        <c:marker>
          <c:symbol val="none"/>
        </c:marker>
      </c:pivotFmt>
      <c:pivotFmt>
        <c:idx val="115"/>
        <c:marker>
          <c:symbol val="none"/>
        </c:marker>
      </c:pivotFmt>
      <c:pivotFmt>
        <c:idx val="116"/>
        <c:marker>
          <c:symbol val="none"/>
        </c:marker>
      </c:pivotFmt>
      <c:pivotFmt>
        <c:idx val="117"/>
        <c:marker>
          <c:symbol val="none"/>
        </c:marker>
      </c:pivotFmt>
      <c:pivotFmt>
        <c:idx val="118"/>
        <c:marker>
          <c:symbol val="none"/>
        </c:marker>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s>
    <c:plotArea>
      <c:layout>
        <c:manualLayout>
          <c:layoutTarget val="inner"/>
          <c:xMode val="edge"/>
          <c:yMode val="edge"/>
          <c:x val="9.0489164690844795E-2"/>
          <c:y val="9.9331901694106398E-2"/>
          <c:w val="0.81334146611955205"/>
          <c:h val="0.72589214984490602"/>
        </c:manualLayout>
      </c:layout>
      <c:lineChart>
        <c:grouping val="standard"/>
        <c:varyColors val="0"/>
        <c:ser>
          <c:idx val="0"/>
          <c:order val="0"/>
          <c:tx>
            <c:strRef>
              <c:f>'G. Despesa'!$B$4:$B$5</c:f>
              <c:strCache>
                <c:ptCount val="1"/>
                <c:pt idx="0">
                  <c:v>2018</c:v>
                </c:pt>
              </c:strCache>
            </c:strRef>
          </c:tx>
          <c:cat>
            <c:strRef>
              <c:f>'G. Despesa'!$A$6:$A$18</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Despesa'!$B$6:$B$18</c:f>
              <c:numCache>
                <c:formatCode>General</c:formatCode>
                <c:ptCount val="12"/>
                <c:pt idx="0">
                  <c:v>730852.83000000007</c:v>
                </c:pt>
                <c:pt idx="1">
                  <c:v>768406.88</c:v>
                </c:pt>
                <c:pt idx="2">
                  <c:v>863747.6</c:v>
                </c:pt>
                <c:pt idx="3">
                  <c:v>793629.79</c:v>
                </c:pt>
                <c:pt idx="4">
                  <c:v>872355.07</c:v>
                </c:pt>
                <c:pt idx="5">
                  <c:v>914253.79</c:v>
                </c:pt>
                <c:pt idx="6">
                  <c:v>952948.03</c:v>
                </c:pt>
                <c:pt idx="7">
                  <c:v>1306231.5299999998</c:v>
                </c:pt>
                <c:pt idx="8">
                  <c:v>920815.85000000021</c:v>
                </c:pt>
                <c:pt idx="9">
                  <c:v>883538.79999999993</c:v>
                </c:pt>
                <c:pt idx="10">
                  <c:v>1049486.48</c:v>
                </c:pt>
                <c:pt idx="11">
                  <c:v>2037482.4899999998</c:v>
                </c:pt>
              </c:numCache>
            </c:numRef>
          </c:val>
          <c:smooth val="0"/>
        </c:ser>
        <c:ser>
          <c:idx val="1"/>
          <c:order val="1"/>
          <c:tx>
            <c:strRef>
              <c:f>'G. Despesa'!$C$4:$C$5</c:f>
              <c:strCache>
                <c:ptCount val="1"/>
                <c:pt idx="0">
                  <c:v>2019</c:v>
                </c:pt>
              </c:strCache>
            </c:strRef>
          </c:tx>
          <c:cat>
            <c:strRef>
              <c:f>'G. Despesa'!$A$6:$A$18</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Despesa'!$C$6:$C$18</c:f>
              <c:numCache>
                <c:formatCode>General</c:formatCode>
                <c:ptCount val="12"/>
                <c:pt idx="0">
                  <c:v>829414.33999999985</c:v>
                </c:pt>
                <c:pt idx="1">
                  <c:v>868701.03000000014</c:v>
                </c:pt>
                <c:pt idx="2">
                  <c:v>934325.08000000007</c:v>
                </c:pt>
                <c:pt idx="3">
                  <c:v>1150564.8199999998</c:v>
                </c:pt>
                <c:pt idx="4">
                  <c:v>1378403.4000000001</c:v>
                </c:pt>
                <c:pt idx="5">
                  <c:v>1197062.8500000001</c:v>
                </c:pt>
                <c:pt idx="6">
                  <c:v>1085847.99</c:v>
                </c:pt>
                <c:pt idx="7">
                  <c:v>1183793.7</c:v>
                </c:pt>
                <c:pt idx="8">
                  <c:v>1039805.3599999999</c:v>
                </c:pt>
                <c:pt idx="9">
                  <c:v>1457663.92</c:v>
                </c:pt>
                <c:pt idx="10">
                  <c:v>1497633.8999999997</c:v>
                </c:pt>
                <c:pt idx="11">
                  <c:v>2675527.8100000005</c:v>
                </c:pt>
              </c:numCache>
            </c:numRef>
          </c:val>
          <c:smooth val="0"/>
        </c:ser>
        <c:ser>
          <c:idx val="2"/>
          <c:order val="2"/>
          <c:tx>
            <c:strRef>
              <c:f>'G. Despesa'!$D$4:$D$5</c:f>
              <c:strCache>
                <c:ptCount val="1"/>
                <c:pt idx="0">
                  <c:v>2020</c:v>
                </c:pt>
              </c:strCache>
            </c:strRef>
          </c:tx>
          <c:cat>
            <c:strRef>
              <c:f>'G. Despesa'!$A$6:$A$18</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Despesa'!$D$6:$D$18</c:f>
              <c:numCache>
                <c:formatCode>General</c:formatCode>
                <c:ptCount val="12"/>
                <c:pt idx="0">
                  <c:v>898155.71</c:v>
                </c:pt>
                <c:pt idx="1">
                  <c:v>1000750.5399999998</c:v>
                </c:pt>
                <c:pt idx="2">
                  <c:v>1068945.42</c:v>
                </c:pt>
                <c:pt idx="3">
                  <c:v>738372.42999999982</c:v>
                </c:pt>
                <c:pt idx="4">
                  <c:v>857554.96</c:v>
                </c:pt>
                <c:pt idx="5">
                  <c:v>964805.22</c:v>
                </c:pt>
                <c:pt idx="6">
                  <c:v>849933.74</c:v>
                </c:pt>
                <c:pt idx="7">
                  <c:v>839079.73</c:v>
                </c:pt>
                <c:pt idx="8">
                  <c:v>979510.2300000001</c:v>
                </c:pt>
                <c:pt idx="9">
                  <c:v>971455.57000000007</c:v>
                </c:pt>
                <c:pt idx="10">
                  <c:v>925542.9</c:v>
                </c:pt>
                <c:pt idx="11">
                  <c:v>2107988.94</c:v>
                </c:pt>
              </c:numCache>
            </c:numRef>
          </c:val>
          <c:smooth val="0"/>
        </c:ser>
        <c:ser>
          <c:idx val="3"/>
          <c:order val="3"/>
          <c:tx>
            <c:strRef>
              <c:f>'G. Despesa'!$E$4:$E$5</c:f>
              <c:strCache>
                <c:ptCount val="1"/>
                <c:pt idx="0">
                  <c:v>2021</c:v>
                </c:pt>
              </c:strCache>
            </c:strRef>
          </c:tx>
          <c:cat>
            <c:strRef>
              <c:f>'G. Despesa'!$A$6:$A$18</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Despesa'!$E$6:$E$18</c:f>
              <c:numCache>
                <c:formatCode>General</c:formatCode>
                <c:ptCount val="12"/>
                <c:pt idx="0">
                  <c:v>857648.0900000002</c:v>
                </c:pt>
                <c:pt idx="1">
                  <c:v>924129.4</c:v>
                </c:pt>
                <c:pt idx="2">
                  <c:v>947194.77000000037</c:v>
                </c:pt>
                <c:pt idx="3">
                  <c:v>983396.14</c:v>
                </c:pt>
                <c:pt idx="4">
                  <c:v>1137242.0699999998</c:v>
                </c:pt>
                <c:pt idx="5">
                  <c:v>998815.44000000018</c:v>
                </c:pt>
                <c:pt idx="6">
                  <c:v>1014495.4800000001</c:v>
                </c:pt>
                <c:pt idx="7">
                  <c:v>992763.48</c:v>
                </c:pt>
                <c:pt idx="8">
                  <c:v>1042007.38</c:v>
                </c:pt>
                <c:pt idx="9">
                  <c:v>993339.24</c:v>
                </c:pt>
                <c:pt idx="10">
                  <c:v>1079195.8600000001</c:v>
                </c:pt>
                <c:pt idx="11">
                  <c:v>2409522.1799999997</c:v>
                </c:pt>
              </c:numCache>
            </c:numRef>
          </c:val>
          <c:smooth val="0"/>
        </c:ser>
        <c:ser>
          <c:idx val="4"/>
          <c:order val="4"/>
          <c:tx>
            <c:strRef>
              <c:f>'G. Despesa'!$F$4:$F$5</c:f>
              <c:strCache>
                <c:ptCount val="1"/>
                <c:pt idx="0">
                  <c:v>2022</c:v>
                </c:pt>
              </c:strCache>
            </c:strRef>
          </c:tx>
          <c:cat>
            <c:strRef>
              <c:f>'G. Despesa'!$A$6:$A$18</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Despesa'!$F$6:$F$18</c:f>
              <c:numCache>
                <c:formatCode>General</c:formatCode>
                <c:ptCount val="12"/>
                <c:pt idx="0">
                  <c:v>969676.31999999983</c:v>
                </c:pt>
                <c:pt idx="1">
                  <c:v>1056615.3899999999</c:v>
                </c:pt>
                <c:pt idx="2">
                  <c:v>1006228.97</c:v>
                </c:pt>
                <c:pt idx="3">
                  <c:v>1057933.7999999998</c:v>
                </c:pt>
                <c:pt idx="4">
                  <c:v>1572224.3599999999</c:v>
                </c:pt>
                <c:pt idx="5">
                  <c:v>0</c:v>
                </c:pt>
                <c:pt idx="6">
                  <c:v>0</c:v>
                </c:pt>
                <c:pt idx="7">
                  <c:v>0</c:v>
                </c:pt>
                <c:pt idx="8">
                  <c:v>0</c:v>
                </c:pt>
                <c:pt idx="9">
                  <c:v>0</c:v>
                </c:pt>
                <c:pt idx="10">
                  <c:v>0</c:v>
                </c:pt>
                <c:pt idx="11">
                  <c:v>0</c:v>
                </c:pt>
              </c:numCache>
            </c:numRef>
          </c:val>
          <c:smooth val="0"/>
        </c:ser>
        <c:dLbls>
          <c:showLegendKey val="0"/>
          <c:showVal val="0"/>
          <c:showCatName val="0"/>
          <c:showSerName val="0"/>
          <c:showPercent val="0"/>
          <c:showBubbleSize val="0"/>
        </c:dLbls>
        <c:marker val="1"/>
        <c:smooth val="0"/>
        <c:axId val="-413400736"/>
        <c:axId val="-413395840"/>
      </c:lineChart>
      <c:catAx>
        <c:axId val="-41340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13395840"/>
        <c:crosses val="autoZero"/>
        <c:auto val="1"/>
        <c:lblAlgn val="ctr"/>
        <c:lblOffset val="100"/>
        <c:noMultiLvlLbl val="0"/>
      </c:catAx>
      <c:valAx>
        <c:axId val="-413395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13400736"/>
        <c:crosses val="autoZero"/>
        <c:crossBetween val="between"/>
        <c:dispUnits>
          <c:builtInUnit val="millions"/>
          <c:dispUnitsLbl>
            <c:layout/>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Pessoal!Tabela dinâmica1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Remunerações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Pessoal'!$B$1:$B$2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Pessoal'!$A$3:$A$15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Pessoal'!$B$3:$B$15</c:f>
              <c:numCache>
                <c:formatCode>General</c:formatCode>
                <c:ptCount val="12"/>
                <c:pt idx="0">
                  <c:v>311814.78000000003</c:v>
                </c:pt>
                <c:pt idx="1">
                  <c:v>304348.45</c:v>
                </c:pt>
                <c:pt idx="2">
                  <c:v>320995.92</c:v>
                </c:pt>
                <c:pt idx="3">
                  <c:v>347178.06</c:v>
                </c:pt>
                <c:pt idx="4">
                  <c:v>352473.42</c:v>
                </c:pt>
                <c:pt idx="5">
                  <c:v>366904.97</c:v>
                </c:pt>
                <c:pt idx="6">
                  <c:v>371564.57</c:v>
                </c:pt>
                <c:pt idx="7">
                  <c:v>468805.42</c:v>
                </c:pt>
                <c:pt idx="8">
                  <c:v>375127.39</c:v>
                </c:pt>
                <c:pt idx="9">
                  <c:v>367558.76</c:v>
                </c:pt>
                <c:pt idx="10">
                  <c:v>382080</c:v>
                </c:pt>
                <c:pt idx="11">
                  <c:v>711416.91</c:v>
                </c:pt>
              </c:numCache>
            </c:numRef>
          </c:val>
          <c:smooth val="0"/>
        </c:ser>
        <c:ser>
          <c:idx val="1"/>
          <c:order val="1"/>
          <c:tx>
            <c:strRef>
              <c:f>'G. Pessoal'!$C$1:$C$2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Pessoal'!$A$3:$A$15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Pessoal'!$C$3:$C$15</c:f>
              <c:numCache>
                <c:formatCode>General</c:formatCode>
                <c:ptCount val="12"/>
                <c:pt idx="0">
                  <c:v>367945.24</c:v>
                </c:pt>
                <c:pt idx="1">
                  <c:v>372951.24</c:v>
                </c:pt>
                <c:pt idx="2">
                  <c:v>381940.95</c:v>
                </c:pt>
                <c:pt idx="3">
                  <c:v>439909.38</c:v>
                </c:pt>
                <c:pt idx="4">
                  <c:v>401843.25</c:v>
                </c:pt>
                <c:pt idx="5">
                  <c:v>417609.58</c:v>
                </c:pt>
                <c:pt idx="6">
                  <c:v>407024.66</c:v>
                </c:pt>
                <c:pt idx="7">
                  <c:v>388103.53</c:v>
                </c:pt>
                <c:pt idx="8">
                  <c:v>385216.4</c:v>
                </c:pt>
                <c:pt idx="9">
                  <c:v>360006.91</c:v>
                </c:pt>
                <c:pt idx="10">
                  <c:v>396782.94</c:v>
                </c:pt>
                <c:pt idx="11">
                  <c:v>759200.1</c:v>
                </c:pt>
              </c:numCache>
            </c:numRef>
          </c:val>
          <c:smooth val="0"/>
        </c:ser>
        <c:ser>
          <c:idx val="2"/>
          <c:order val="2"/>
          <c:tx>
            <c:strRef>
              <c:f>'G. Pessoal'!$D$1:$D$2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Pessoal'!$A$3:$A$15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Pessoal'!$D$3:$D$15</c:f>
              <c:numCache>
                <c:formatCode>General</c:formatCode>
                <c:ptCount val="12"/>
                <c:pt idx="0">
                  <c:v>428566.56</c:v>
                </c:pt>
                <c:pt idx="1">
                  <c:v>431158.87</c:v>
                </c:pt>
                <c:pt idx="2">
                  <c:v>415875.31</c:v>
                </c:pt>
                <c:pt idx="3">
                  <c:v>407975.92</c:v>
                </c:pt>
                <c:pt idx="4">
                  <c:v>486343.81</c:v>
                </c:pt>
                <c:pt idx="5">
                  <c:v>411972.54</c:v>
                </c:pt>
                <c:pt idx="6">
                  <c:v>416806.82</c:v>
                </c:pt>
                <c:pt idx="7">
                  <c:v>408702.4</c:v>
                </c:pt>
                <c:pt idx="8">
                  <c:v>417148.84</c:v>
                </c:pt>
                <c:pt idx="9">
                  <c:v>416377.95</c:v>
                </c:pt>
                <c:pt idx="10">
                  <c:v>417945.15</c:v>
                </c:pt>
                <c:pt idx="11">
                  <c:v>846944.85</c:v>
                </c:pt>
              </c:numCache>
            </c:numRef>
          </c:val>
          <c:smooth val="0"/>
        </c:ser>
        <c:ser>
          <c:idx val="3"/>
          <c:order val="3"/>
          <c:tx>
            <c:strRef>
              <c:f>'G. Pessoal'!$E$1:$E$2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Pessoal'!$A$3:$A$15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Pessoal'!$E$3:$E$15</c:f>
              <c:numCache>
                <c:formatCode>General</c:formatCode>
                <c:ptCount val="12"/>
                <c:pt idx="0">
                  <c:v>429739.53</c:v>
                </c:pt>
                <c:pt idx="1">
                  <c:v>443228.44</c:v>
                </c:pt>
                <c:pt idx="2">
                  <c:v>411005.72</c:v>
                </c:pt>
                <c:pt idx="3">
                  <c:v>473914.55</c:v>
                </c:pt>
                <c:pt idx="4">
                  <c:v>603849.35</c:v>
                </c:pt>
                <c:pt idx="5">
                  <c:v>464419.41</c:v>
                </c:pt>
                <c:pt idx="6">
                  <c:v>455656.48</c:v>
                </c:pt>
                <c:pt idx="7">
                  <c:v>472714.11</c:v>
                </c:pt>
                <c:pt idx="8">
                  <c:v>488878.69</c:v>
                </c:pt>
                <c:pt idx="9">
                  <c:v>506021.51</c:v>
                </c:pt>
                <c:pt idx="10">
                  <c:v>485680.74</c:v>
                </c:pt>
                <c:pt idx="11">
                  <c:v>948298.18</c:v>
                </c:pt>
              </c:numCache>
            </c:numRef>
          </c:val>
          <c:smooth val="0"/>
        </c:ser>
        <c:ser>
          <c:idx val="4"/>
          <c:order val="4"/>
          <c:tx>
            <c:strRef>
              <c:f>'G. Pessoal'!$F$1:$F$2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Pessoal'!$A$3:$A$15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Pessoal'!$F$3:$F$15</c:f>
              <c:numCache>
                <c:formatCode>General</c:formatCode>
                <c:ptCount val="12"/>
                <c:pt idx="0">
                  <c:v>507558.1</c:v>
                </c:pt>
                <c:pt idx="1">
                  <c:v>542461.94999999995</c:v>
                </c:pt>
                <c:pt idx="2">
                  <c:v>516388.94</c:v>
                </c:pt>
                <c:pt idx="3">
                  <c:v>507215</c:v>
                </c:pt>
                <c:pt idx="4">
                  <c:v>794648.99</c:v>
                </c:pt>
              </c:numCache>
            </c:numRef>
          </c:val>
          <c:smooth val="0"/>
        </c:ser>
        <c:dLbls>
          <c:showLegendKey val="0"/>
          <c:showVal val="0"/>
          <c:showCatName val="0"/>
          <c:showSerName val="0"/>
          <c:showPercent val="0"/>
          <c:showBubbleSize val="0"/>
        </c:dLbls>
        <c:marker val="1"/>
        <c:smooth val="0"/>
        <c:axId val="-413395296"/>
        <c:axId val="-413394752"/>
      </c:lineChart>
      <c:catAx>
        <c:axId val="-41339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13394752"/>
        <c:crosses val="autoZero"/>
        <c:auto val="1"/>
        <c:lblAlgn val="ctr"/>
        <c:lblOffset val="100"/>
        <c:noMultiLvlLbl val="0"/>
      </c:catAx>
      <c:valAx>
        <c:axId val="-41339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13395296"/>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Encargos Sociais!Tabela dinâmica2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Encargos Sociais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Encargos Sociais'!$B$1:$B$2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Encargos Sociais'!$A$3:$A$15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Encargos Sociais'!$B$3:$B$15</c:f>
              <c:numCache>
                <c:formatCode>General</c:formatCode>
                <c:ptCount val="12"/>
                <c:pt idx="0">
                  <c:v>93434.27</c:v>
                </c:pt>
                <c:pt idx="1">
                  <c:v>94493.79</c:v>
                </c:pt>
                <c:pt idx="2">
                  <c:v>101582.61</c:v>
                </c:pt>
                <c:pt idx="3">
                  <c:v>100283.48</c:v>
                </c:pt>
                <c:pt idx="4">
                  <c:v>103838.38</c:v>
                </c:pt>
                <c:pt idx="5">
                  <c:v>119120.43</c:v>
                </c:pt>
                <c:pt idx="6">
                  <c:v>106771.78</c:v>
                </c:pt>
                <c:pt idx="7">
                  <c:v>112015.87</c:v>
                </c:pt>
                <c:pt idx="8">
                  <c:v>109740.45</c:v>
                </c:pt>
                <c:pt idx="9">
                  <c:v>110356.05</c:v>
                </c:pt>
                <c:pt idx="10">
                  <c:v>99747.85</c:v>
                </c:pt>
                <c:pt idx="11">
                  <c:v>195277.68</c:v>
                </c:pt>
              </c:numCache>
            </c:numRef>
          </c:val>
          <c:smooth val="0"/>
        </c:ser>
        <c:ser>
          <c:idx val="1"/>
          <c:order val="1"/>
          <c:tx>
            <c:strRef>
              <c:f>'G. Encargos Sociais'!$C$1:$C$2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Encargos Sociais'!$A$3:$A$15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Encargos Sociais'!$C$3:$C$15</c:f>
              <c:numCache>
                <c:formatCode>General</c:formatCode>
                <c:ptCount val="12"/>
                <c:pt idx="0">
                  <c:v>111816</c:v>
                </c:pt>
                <c:pt idx="1">
                  <c:v>114497.93</c:v>
                </c:pt>
                <c:pt idx="2">
                  <c:v>114319.4</c:v>
                </c:pt>
                <c:pt idx="3">
                  <c:v>132936.6</c:v>
                </c:pt>
                <c:pt idx="4">
                  <c:v>120182.43</c:v>
                </c:pt>
                <c:pt idx="5">
                  <c:v>138235.01999999999</c:v>
                </c:pt>
                <c:pt idx="6">
                  <c:v>123798.77</c:v>
                </c:pt>
                <c:pt idx="7">
                  <c:v>118039.8</c:v>
                </c:pt>
                <c:pt idx="8">
                  <c:v>118824.35</c:v>
                </c:pt>
                <c:pt idx="9">
                  <c:v>115628.76</c:v>
                </c:pt>
                <c:pt idx="10">
                  <c:v>122203.43</c:v>
                </c:pt>
                <c:pt idx="11">
                  <c:v>220961.87</c:v>
                </c:pt>
              </c:numCache>
            </c:numRef>
          </c:val>
          <c:smooth val="0"/>
        </c:ser>
        <c:ser>
          <c:idx val="2"/>
          <c:order val="2"/>
          <c:tx>
            <c:strRef>
              <c:f>'G. Encargos Sociais'!$D$1:$D$2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Encargos Sociais'!$A$3:$A$15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Encargos Sociais'!$D$3:$D$15</c:f>
              <c:numCache>
                <c:formatCode>General</c:formatCode>
                <c:ptCount val="12"/>
                <c:pt idx="0">
                  <c:v>122890.97</c:v>
                </c:pt>
                <c:pt idx="1">
                  <c:v>127520.25</c:v>
                </c:pt>
                <c:pt idx="2">
                  <c:v>120448.84</c:v>
                </c:pt>
                <c:pt idx="3">
                  <c:v>116597.91</c:v>
                </c:pt>
                <c:pt idx="4">
                  <c:v>139104.1</c:v>
                </c:pt>
                <c:pt idx="5">
                  <c:v>119605.01</c:v>
                </c:pt>
                <c:pt idx="6">
                  <c:v>119843.16</c:v>
                </c:pt>
                <c:pt idx="7">
                  <c:v>118224.1</c:v>
                </c:pt>
                <c:pt idx="8">
                  <c:v>120149.84</c:v>
                </c:pt>
                <c:pt idx="9">
                  <c:v>132178.54</c:v>
                </c:pt>
                <c:pt idx="10">
                  <c:v>121845.12</c:v>
                </c:pt>
                <c:pt idx="11">
                  <c:v>235455.64</c:v>
                </c:pt>
              </c:numCache>
            </c:numRef>
          </c:val>
          <c:smooth val="0"/>
        </c:ser>
        <c:ser>
          <c:idx val="3"/>
          <c:order val="3"/>
          <c:tx>
            <c:strRef>
              <c:f>'G. Encargos Sociais'!$E$1:$E$2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Encargos Sociais'!$A$3:$A$15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Encargos Sociais'!$E$3:$E$15</c:f>
              <c:numCache>
                <c:formatCode>General</c:formatCode>
                <c:ptCount val="12"/>
                <c:pt idx="0">
                  <c:v>123851.92</c:v>
                </c:pt>
                <c:pt idx="1">
                  <c:v>127214.49</c:v>
                </c:pt>
                <c:pt idx="2">
                  <c:v>121499.42</c:v>
                </c:pt>
                <c:pt idx="3">
                  <c:v>123254.01</c:v>
                </c:pt>
                <c:pt idx="4">
                  <c:v>173317.84</c:v>
                </c:pt>
                <c:pt idx="5">
                  <c:v>148450.35999999999</c:v>
                </c:pt>
                <c:pt idx="6">
                  <c:v>132713.9</c:v>
                </c:pt>
                <c:pt idx="7">
                  <c:v>136860.43</c:v>
                </c:pt>
                <c:pt idx="8">
                  <c:v>135723.56</c:v>
                </c:pt>
                <c:pt idx="9">
                  <c:v>141358.59</c:v>
                </c:pt>
                <c:pt idx="10">
                  <c:v>139388.76999999999</c:v>
                </c:pt>
                <c:pt idx="11">
                  <c:v>258518.6</c:v>
                </c:pt>
              </c:numCache>
            </c:numRef>
          </c:val>
          <c:smooth val="0"/>
        </c:ser>
        <c:ser>
          <c:idx val="4"/>
          <c:order val="4"/>
          <c:tx>
            <c:strRef>
              <c:f>'G. Encargos Sociais'!$F$1:$F$2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Encargos Sociais'!$A$3:$A$15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Encargos Sociais'!$F$3:$F$15</c:f>
              <c:numCache>
                <c:formatCode>General</c:formatCode>
                <c:ptCount val="12"/>
                <c:pt idx="0">
                  <c:v>149094.39999999999</c:v>
                </c:pt>
                <c:pt idx="1">
                  <c:v>155845.42000000001</c:v>
                </c:pt>
                <c:pt idx="2">
                  <c:v>151504.87</c:v>
                </c:pt>
                <c:pt idx="3">
                  <c:v>147440.16</c:v>
                </c:pt>
                <c:pt idx="4">
                  <c:v>230242.25</c:v>
                </c:pt>
              </c:numCache>
            </c:numRef>
          </c:val>
          <c:smooth val="0"/>
        </c:ser>
        <c:dLbls>
          <c:showLegendKey val="0"/>
          <c:showVal val="0"/>
          <c:showCatName val="0"/>
          <c:showSerName val="0"/>
          <c:showPercent val="0"/>
          <c:showBubbleSize val="0"/>
        </c:dLbls>
        <c:marker val="1"/>
        <c:smooth val="0"/>
        <c:axId val="-413397472"/>
        <c:axId val="-413394208"/>
      </c:lineChart>
      <c:catAx>
        <c:axId val="-41339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13394208"/>
        <c:crosses val="autoZero"/>
        <c:auto val="1"/>
        <c:lblAlgn val="ctr"/>
        <c:lblOffset val="100"/>
        <c:noMultiLvlLbl val="0"/>
      </c:catAx>
      <c:valAx>
        <c:axId val="-413394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13397472"/>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Benefícios!Tabela dinâmica3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Benefícios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w="28575" cap="rnd">
            <a:no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
        <c:spPr>
          <a:solidFill>
            <a:schemeClr val="accent1"/>
          </a:solidFill>
          <a:ln w="28575" cap="rnd">
            <a:noFill/>
            <a:round/>
          </a:ln>
          <a:effectLst/>
        </c:spPr>
        <c:marker>
          <c:symbol val="circle"/>
          <c:size val="5"/>
          <c:spPr>
            <a:solidFill>
              <a:schemeClr val="accent5"/>
            </a:solidFill>
            <a:ln w="9525">
              <a:solidFill>
                <a:schemeClr val="accent5"/>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7"/>
        <c:spPr>
          <a:solidFill>
            <a:schemeClr val="accent1"/>
          </a:solidFill>
          <a:ln w="28575" cap="rnd">
            <a:noFill/>
            <a:round/>
          </a:ln>
          <a:effectLst/>
        </c:spPr>
        <c:marker>
          <c:symbol val="circle"/>
          <c:size val="5"/>
          <c:spPr>
            <a:solidFill>
              <a:schemeClr val="accent5"/>
            </a:solidFill>
            <a:ln w="9525">
              <a:solidFill>
                <a:schemeClr val="accent5"/>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6"/>
        <c:spPr>
          <a:solidFill>
            <a:schemeClr val="accent1"/>
          </a:solidFill>
          <a:ln w="28575" cap="rnd">
            <a:noFill/>
            <a:round/>
          </a:ln>
          <a:effectLst/>
        </c:spPr>
        <c:marker>
          <c:symbol val="circle"/>
          <c:size val="5"/>
          <c:spPr>
            <a:solidFill>
              <a:schemeClr val="accent5"/>
            </a:solidFill>
            <a:ln w="9525">
              <a:solidFill>
                <a:schemeClr val="accent5"/>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Benefícios'!$B$1:$B$2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Benefícios'!$A$3:$A$15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Benefícios'!$B$3:$B$15</c:f>
              <c:numCache>
                <c:formatCode>General</c:formatCode>
                <c:ptCount val="12"/>
                <c:pt idx="0">
                  <c:v>61981.120000000003</c:v>
                </c:pt>
                <c:pt idx="1">
                  <c:v>53951.06</c:v>
                </c:pt>
                <c:pt idx="2">
                  <c:v>64161.37</c:v>
                </c:pt>
                <c:pt idx="3">
                  <c:v>65351.43</c:v>
                </c:pt>
                <c:pt idx="4">
                  <c:v>63493.5</c:v>
                </c:pt>
                <c:pt idx="5">
                  <c:v>64237.69</c:v>
                </c:pt>
                <c:pt idx="6">
                  <c:v>64252.55</c:v>
                </c:pt>
                <c:pt idx="7">
                  <c:v>73136.25</c:v>
                </c:pt>
                <c:pt idx="8">
                  <c:v>62143.45</c:v>
                </c:pt>
                <c:pt idx="9">
                  <c:v>70053.38</c:v>
                </c:pt>
                <c:pt idx="10">
                  <c:v>66624.81</c:v>
                </c:pt>
                <c:pt idx="11">
                  <c:v>107754.27</c:v>
                </c:pt>
              </c:numCache>
            </c:numRef>
          </c:val>
          <c:smooth val="0"/>
        </c:ser>
        <c:ser>
          <c:idx val="1"/>
          <c:order val="1"/>
          <c:tx>
            <c:strRef>
              <c:f>'G. Benefícios'!$C$1:$C$2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Benefícios'!$A$3:$A$15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Benefícios'!$C$3:$C$15</c:f>
              <c:numCache>
                <c:formatCode>General</c:formatCode>
                <c:ptCount val="12"/>
                <c:pt idx="0">
                  <c:v>94697.8</c:v>
                </c:pt>
                <c:pt idx="1">
                  <c:v>42921.74</c:v>
                </c:pt>
                <c:pt idx="2">
                  <c:v>69278.94</c:v>
                </c:pt>
                <c:pt idx="3">
                  <c:v>146325.43</c:v>
                </c:pt>
                <c:pt idx="4">
                  <c:v>95436.76</c:v>
                </c:pt>
                <c:pt idx="5">
                  <c:v>93776.36</c:v>
                </c:pt>
                <c:pt idx="6">
                  <c:v>100230.76</c:v>
                </c:pt>
                <c:pt idx="7">
                  <c:v>101355.12</c:v>
                </c:pt>
                <c:pt idx="8">
                  <c:v>99039.83</c:v>
                </c:pt>
                <c:pt idx="9">
                  <c:v>99300.160000000003</c:v>
                </c:pt>
                <c:pt idx="10">
                  <c:v>105639.49</c:v>
                </c:pt>
                <c:pt idx="11">
                  <c:v>153785.26</c:v>
                </c:pt>
              </c:numCache>
            </c:numRef>
          </c:val>
          <c:smooth val="0"/>
        </c:ser>
        <c:ser>
          <c:idx val="2"/>
          <c:order val="2"/>
          <c:tx>
            <c:strRef>
              <c:f>'G. Benefícios'!$D$1:$D$2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Benefícios'!$A$3:$A$15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Benefícios'!$D$3:$D$15</c:f>
              <c:numCache>
                <c:formatCode>General</c:formatCode>
                <c:ptCount val="12"/>
                <c:pt idx="0">
                  <c:v>110703.29</c:v>
                </c:pt>
                <c:pt idx="1">
                  <c:v>89852.04</c:v>
                </c:pt>
                <c:pt idx="2">
                  <c:v>111807.26</c:v>
                </c:pt>
                <c:pt idx="3">
                  <c:v>95178.82</c:v>
                </c:pt>
                <c:pt idx="4">
                  <c:v>90913.46</c:v>
                </c:pt>
                <c:pt idx="5">
                  <c:v>104682.53</c:v>
                </c:pt>
                <c:pt idx="6">
                  <c:v>82696.05</c:v>
                </c:pt>
                <c:pt idx="7">
                  <c:v>91263.13</c:v>
                </c:pt>
                <c:pt idx="8">
                  <c:v>91617.91</c:v>
                </c:pt>
                <c:pt idx="9">
                  <c:v>89797.37</c:v>
                </c:pt>
                <c:pt idx="10">
                  <c:v>90641.98</c:v>
                </c:pt>
                <c:pt idx="11">
                  <c:v>217606.47</c:v>
                </c:pt>
              </c:numCache>
            </c:numRef>
          </c:val>
          <c:smooth val="0"/>
        </c:ser>
        <c:ser>
          <c:idx val="3"/>
          <c:order val="3"/>
          <c:tx>
            <c:strRef>
              <c:f>'G. Benefícios'!$E$1:$E$2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Benefícios'!$A$3:$A$15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Benefícios'!$E$3:$E$15</c:f>
              <c:numCache>
                <c:formatCode>General</c:formatCode>
                <c:ptCount val="12"/>
                <c:pt idx="0">
                  <c:v>100244.16</c:v>
                </c:pt>
                <c:pt idx="1">
                  <c:v>92789.58</c:v>
                </c:pt>
                <c:pt idx="2">
                  <c:v>92525.19</c:v>
                </c:pt>
                <c:pt idx="3">
                  <c:v>92888.53</c:v>
                </c:pt>
                <c:pt idx="4">
                  <c:v>95218.880000000005</c:v>
                </c:pt>
                <c:pt idx="5">
                  <c:v>115819.88</c:v>
                </c:pt>
                <c:pt idx="6">
                  <c:v>98862.01</c:v>
                </c:pt>
                <c:pt idx="7">
                  <c:v>100576.59</c:v>
                </c:pt>
                <c:pt idx="8">
                  <c:v>181642.45</c:v>
                </c:pt>
                <c:pt idx="9">
                  <c:v>111345.34</c:v>
                </c:pt>
                <c:pt idx="10">
                  <c:v>116198.43</c:v>
                </c:pt>
                <c:pt idx="11">
                  <c:v>120383.58</c:v>
                </c:pt>
              </c:numCache>
            </c:numRef>
          </c:val>
          <c:smooth val="0"/>
        </c:ser>
        <c:ser>
          <c:idx val="4"/>
          <c:order val="4"/>
          <c:tx>
            <c:strRef>
              <c:f>'G. Benefícios'!$F$1:$F$2</c:f>
              <c:strCache>
                <c:ptCount val="1"/>
                <c:pt idx="0">
                  <c:v>2022</c:v>
                </c:pt>
              </c:strCache>
            </c:strRef>
          </c:tx>
          <c:spPr>
            <a:ln w="28575" cap="rnd">
              <a:noFill/>
              <a:round/>
            </a:ln>
            <a:effectLst/>
          </c:spPr>
          <c:marker>
            <c:symbol val="circle"/>
            <c:size val="5"/>
            <c:spPr>
              <a:solidFill>
                <a:schemeClr val="accent5"/>
              </a:solidFill>
              <a:ln w="9525">
                <a:solidFill>
                  <a:schemeClr val="accent5"/>
                </a:solidFill>
              </a:ln>
              <a:effectLst/>
            </c:spPr>
          </c:marker>
          <c:dPt>
            <c:idx val="1"/>
            <c:marker>
              <c:symbol val="circle"/>
              <c:size val="5"/>
              <c:spPr>
                <a:solidFill>
                  <a:schemeClr val="accent5"/>
                </a:solidFill>
                <a:ln w="9525">
                  <a:solidFill>
                    <a:schemeClr val="accent5"/>
                  </a:solidFill>
                </a:ln>
                <a:effectLst/>
              </c:spPr>
            </c:marker>
            <c:bubble3D val="0"/>
            <c:spPr>
              <a:ln w="28575" cap="rnd">
                <a:solidFill>
                  <a:schemeClr val="accent1"/>
                </a:solidFill>
                <a:round/>
              </a:ln>
              <a:effectLst/>
            </c:spPr>
          </c:dPt>
          <c:dPt>
            <c:idx val="2"/>
            <c:marker>
              <c:symbol val="circle"/>
              <c:size val="5"/>
              <c:spPr>
                <a:solidFill>
                  <a:schemeClr val="accent5"/>
                </a:solidFill>
                <a:ln w="9525">
                  <a:solidFill>
                    <a:schemeClr val="accent5"/>
                  </a:solidFill>
                </a:ln>
                <a:effectLst/>
              </c:spPr>
            </c:marker>
            <c:bubble3D val="0"/>
            <c:spPr>
              <a:ln w="28575" cap="rnd">
                <a:solidFill>
                  <a:schemeClr val="accent1"/>
                </a:solidFill>
                <a:round/>
              </a:ln>
              <a:effectLst/>
            </c:spPr>
          </c:dPt>
          <c:dPt>
            <c:idx val="3"/>
            <c:marker>
              <c:symbol val="circle"/>
              <c:size val="5"/>
              <c:spPr>
                <a:solidFill>
                  <a:schemeClr val="accent5"/>
                </a:solidFill>
                <a:ln w="9525">
                  <a:solidFill>
                    <a:schemeClr val="accent5"/>
                  </a:solidFill>
                </a:ln>
                <a:effectLst/>
              </c:spPr>
            </c:marker>
            <c:bubble3D val="0"/>
            <c:spPr>
              <a:ln w="28575" cap="rnd">
                <a:solidFill>
                  <a:schemeClr val="accent1"/>
                </a:solidFill>
                <a:round/>
              </a:ln>
              <a:effectLst/>
            </c:spPr>
          </c:dPt>
          <c:dPt>
            <c:idx val="4"/>
            <c:marker>
              <c:symbol val="circle"/>
              <c:size val="5"/>
              <c:spPr>
                <a:solidFill>
                  <a:schemeClr val="accent5"/>
                </a:solidFill>
                <a:ln w="9525">
                  <a:solidFill>
                    <a:schemeClr val="accent5"/>
                  </a:solidFill>
                </a:ln>
                <a:effectLst/>
              </c:spPr>
            </c:marker>
            <c:bubble3D val="0"/>
            <c:spPr>
              <a:ln w="28575" cap="rnd">
                <a:solidFill>
                  <a:schemeClr val="accent1"/>
                </a:solidFill>
                <a:round/>
              </a:ln>
              <a:effectLst/>
            </c:spPr>
          </c:dPt>
          <c:cat>
            <c:strRef>
              <c:f>'G. Benefícios'!$A$3:$A$15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Benefícios'!$F$3:$F$15</c:f>
              <c:numCache>
                <c:formatCode>General</c:formatCode>
                <c:ptCount val="12"/>
                <c:pt idx="0">
                  <c:v>174089.95</c:v>
                </c:pt>
                <c:pt idx="1">
                  <c:v>138221.56</c:v>
                </c:pt>
                <c:pt idx="2">
                  <c:v>140680.63</c:v>
                </c:pt>
                <c:pt idx="3">
                  <c:v>143253.98000000001</c:v>
                </c:pt>
                <c:pt idx="4">
                  <c:v>141186.85</c:v>
                </c:pt>
              </c:numCache>
            </c:numRef>
          </c:val>
          <c:smooth val="0"/>
        </c:ser>
        <c:dLbls>
          <c:showLegendKey val="0"/>
          <c:showVal val="0"/>
          <c:showCatName val="0"/>
          <c:showSerName val="0"/>
          <c:showPercent val="0"/>
          <c:showBubbleSize val="0"/>
        </c:dLbls>
        <c:marker val="1"/>
        <c:smooth val="0"/>
        <c:axId val="-413400192"/>
        <c:axId val="-465039328"/>
      </c:lineChart>
      <c:catAx>
        <c:axId val="-41340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65039328"/>
        <c:crosses val="autoZero"/>
        <c:auto val="1"/>
        <c:lblAlgn val="ctr"/>
        <c:lblOffset val="100"/>
        <c:noMultiLvlLbl val="0"/>
      </c:catAx>
      <c:valAx>
        <c:axId val="-46503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accent1">
                <a:alpha val="96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13400192"/>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Material Consumo!Tabela dinâmica4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Material de</a:t>
            </a:r>
            <a:r>
              <a:rPr lang="pt-BR" baseline="0"/>
              <a:t> Consumo</a:t>
            </a:r>
            <a:endParaRPr lang="pt-B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Material Consumo'!$B$1:$B$2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Consumo'!$B$3:$B$15</c:f>
              <c:numCache>
                <c:formatCode>General</c:formatCode>
                <c:ptCount val="12"/>
                <c:pt idx="0">
                  <c:v>3318.73</c:v>
                </c:pt>
                <c:pt idx="1">
                  <c:v>6657.43</c:v>
                </c:pt>
                <c:pt idx="2">
                  <c:v>3910.42</c:v>
                </c:pt>
                <c:pt idx="3">
                  <c:v>8868.2000000000007</c:v>
                </c:pt>
                <c:pt idx="4">
                  <c:v>3390.53</c:v>
                </c:pt>
                <c:pt idx="5">
                  <c:v>7210.28</c:v>
                </c:pt>
                <c:pt idx="6">
                  <c:v>7263.47</c:v>
                </c:pt>
                <c:pt idx="7">
                  <c:v>11142.6</c:v>
                </c:pt>
                <c:pt idx="8">
                  <c:v>12115.3</c:v>
                </c:pt>
                <c:pt idx="9">
                  <c:v>5522.2</c:v>
                </c:pt>
                <c:pt idx="10">
                  <c:v>9593.2900000000009</c:v>
                </c:pt>
                <c:pt idx="11">
                  <c:v>15273.33</c:v>
                </c:pt>
              </c:numCache>
            </c:numRef>
          </c:val>
          <c:smooth val="0"/>
        </c:ser>
        <c:ser>
          <c:idx val="1"/>
          <c:order val="1"/>
          <c:tx>
            <c:strRef>
              <c:f>'G.  Material Consumo'!$C$1:$C$2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Consumo'!$C$3:$C$15</c:f>
              <c:numCache>
                <c:formatCode>General</c:formatCode>
                <c:ptCount val="12"/>
                <c:pt idx="0">
                  <c:v>2003.69</c:v>
                </c:pt>
                <c:pt idx="1">
                  <c:v>6034.43</c:v>
                </c:pt>
                <c:pt idx="2">
                  <c:v>10211.43</c:v>
                </c:pt>
                <c:pt idx="3">
                  <c:v>18024.669999999998</c:v>
                </c:pt>
                <c:pt idx="4">
                  <c:v>13899.06</c:v>
                </c:pt>
                <c:pt idx="5">
                  <c:v>3975.18</c:v>
                </c:pt>
                <c:pt idx="6">
                  <c:v>13061.91</c:v>
                </c:pt>
                <c:pt idx="7">
                  <c:v>46736.35</c:v>
                </c:pt>
                <c:pt idx="8">
                  <c:v>9762.66</c:v>
                </c:pt>
                <c:pt idx="9">
                  <c:v>24449.4</c:v>
                </c:pt>
                <c:pt idx="10">
                  <c:v>21143.119999999999</c:v>
                </c:pt>
                <c:pt idx="11">
                  <c:v>61774.039999999994</c:v>
                </c:pt>
              </c:numCache>
            </c:numRef>
          </c:val>
          <c:smooth val="0"/>
        </c:ser>
        <c:ser>
          <c:idx val="2"/>
          <c:order val="2"/>
          <c:tx>
            <c:strRef>
              <c:f>'G.  Material Consumo'!$D$1:$D$2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Consumo'!$D$3:$D$15</c:f>
              <c:numCache>
                <c:formatCode>General</c:formatCode>
                <c:ptCount val="12"/>
                <c:pt idx="0">
                  <c:v>1546.01</c:v>
                </c:pt>
                <c:pt idx="1">
                  <c:v>5184.75</c:v>
                </c:pt>
                <c:pt idx="2">
                  <c:v>382</c:v>
                </c:pt>
                <c:pt idx="3">
                  <c:v>1841.44</c:v>
                </c:pt>
                <c:pt idx="4">
                  <c:v>2490.39</c:v>
                </c:pt>
                <c:pt idx="5">
                  <c:v>7891.04</c:v>
                </c:pt>
                <c:pt idx="6">
                  <c:v>2292.98</c:v>
                </c:pt>
                <c:pt idx="7">
                  <c:v>3236.82</c:v>
                </c:pt>
                <c:pt idx="8">
                  <c:v>2309.62</c:v>
                </c:pt>
                <c:pt idx="9">
                  <c:v>9788.39</c:v>
                </c:pt>
                <c:pt idx="10">
                  <c:v>883.12</c:v>
                </c:pt>
                <c:pt idx="11">
                  <c:v>61278.119999999995</c:v>
                </c:pt>
              </c:numCache>
            </c:numRef>
          </c:val>
          <c:smooth val="0"/>
        </c:ser>
        <c:ser>
          <c:idx val="3"/>
          <c:order val="3"/>
          <c:tx>
            <c:strRef>
              <c:f>'G.  Material Consumo'!$E$1:$E$2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Consumo'!$E$3:$E$15</c:f>
              <c:numCache>
                <c:formatCode>General</c:formatCode>
                <c:ptCount val="12"/>
                <c:pt idx="0">
                  <c:v>207.01</c:v>
                </c:pt>
                <c:pt idx="1">
                  <c:v>1926.76</c:v>
                </c:pt>
                <c:pt idx="2">
                  <c:v>6806.56</c:v>
                </c:pt>
                <c:pt idx="3">
                  <c:v>20660.97</c:v>
                </c:pt>
                <c:pt idx="4">
                  <c:v>3094.03</c:v>
                </c:pt>
                <c:pt idx="5">
                  <c:v>2225.81</c:v>
                </c:pt>
                <c:pt idx="6">
                  <c:v>10424.77</c:v>
                </c:pt>
                <c:pt idx="7">
                  <c:v>4561.24</c:v>
                </c:pt>
                <c:pt idx="8">
                  <c:v>4624.58</c:v>
                </c:pt>
                <c:pt idx="9">
                  <c:v>3051.77</c:v>
                </c:pt>
                <c:pt idx="10">
                  <c:v>8694.6200000000008</c:v>
                </c:pt>
                <c:pt idx="11">
                  <c:v>28475.88</c:v>
                </c:pt>
              </c:numCache>
            </c:numRef>
          </c:val>
          <c:smooth val="0"/>
        </c:ser>
        <c:ser>
          <c:idx val="4"/>
          <c:order val="4"/>
          <c:tx>
            <c:strRef>
              <c:f>'G.  Material Consumo'!$F$1:$F$2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Consumo'!$F$3:$F$15</c:f>
              <c:numCache>
                <c:formatCode>General</c:formatCode>
                <c:ptCount val="12"/>
                <c:pt idx="0">
                  <c:v>89.54</c:v>
                </c:pt>
                <c:pt idx="1">
                  <c:v>12885.82</c:v>
                </c:pt>
                <c:pt idx="2">
                  <c:v>0</c:v>
                </c:pt>
                <c:pt idx="3">
                  <c:v>5753.83</c:v>
                </c:pt>
                <c:pt idx="4">
                  <c:v>18725.88</c:v>
                </c:pt>
              </c:numCache>
            </c:numRef>
          </c:val>
          <c:smooth val="0"/>
        </c:ser>
        <c:dLbls>
          <c:showLegendKey val="0"/>
          <c:showVal val="0"/>
          <c:showCatName val="0"/>
          <c:showSerName val="0"/>
          <c:showPercent val="0"/>
          <c:showBubbleSize val="0"/>
        </c:dLbls>
        <c:marker val="1"/>
        <c:smooth val="0"/>
        <c:axId val="-373566288"/>
        <c:axId val="-373563024"/>
      </c:lineChart>
      <c:catAx>
        <c:axId val="-37356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63024"/>
        <c:crosses val="autoZero"/>
        <c:auto val="1"/>
        <c:lblAlgn val="ctr"/>
        <c:lblOffset val="100"/>
        <c:noMultiLvlLbl val="0"/>
      </c:catAx>
      <c:valAx>
        <c:axId val="-373563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66288"/>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Material Consumo!Tabela dinâmica4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Material de</a:t>
            </a:r>
            <a:r>
              <a:rPr lang="pt-BR" baseline="0"/>
              <a:t> Consumo</a:t>
            </a:r>
            <a:endParaRPr lang="pt-B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Material Consumo'!$B$1:$B$2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Consumo'!$B$3:$B$15</c:f>
              <c:numCache>
                <c:formatCode>General</c:formatCode>
                <c:ptCount val="12"/>
                <c:pt idx="0">
                  <c:v>3318.73</c:v>
                </c:pt>
                <c:pt idx="1">
                  <c:v>6657.43</c:v>
                </c:pt>
                <c:pt idx="2">
                  <c:v>3910.42</c:v>
                </c:pt>
                <c:pt idx="3">
                  <c:v>8868.2000000000007</c:v>
                </c:pt>
                <c:pt idx="4">
                  <c:v>3390.53</c:v>
                </c:pt>
                <c:pt idx="5">
                  <c:v>7210.28</c:v>
                </c:pt>
                <c:pt idx="6">
                  <c:v>7263.47</c:v>
                </c:pt>
                <c:pt idx="7">
                  <c:v>11142.6</c:v>
                </c:pt>
                <c:pt idx="8">
                  <c:v>12115.3</c:v>
                </c:pt>
                <c:pt idx="9">
                  <c:v>5522.2</c:v>
                </c:pt>
                <c:pt idx="10">
                  <c:v>9593.2900000000009</c:v>
                </c:pt>
                <c:pt idx="11">
                  <c:v>15273.33</c:v>
                </c:pt>
              </c:numCache>
            </c:numRef>
          </c:val>
          <c:smooth val="0"/>
        </c:ser>
        <c:ser>
          <c:idx val="1"/>
          <c:order val="1"/>
          <c:tx>
            <c:strRef>
              <c:f>'G.  Material Consumo'!$C$1:$C$2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Consumo'!$C$3:$C$15</c:f>
              <c:numCache>
                <c:formatCode>General</c:formatCode>
                <c:ptCount val="12"/>
                <c:pt idx="0">
                  <c:v>2003.69</c:v>
                </c:pt>
                <c:pt idx="1">
                  <c:v>6034.43</c:v>
                </c:pt>
                <c:pt idx="2">
                  <c:v>10211.43</c:v>
                </c:pt>
                <c:pt idx="3">
                  <c:v>18024.669999999998</c:v>
                </c:pt>
                <c:pt idx="4">
                  <c:v>13899.06</c:v>
                </c:pt>
                <c:pt idx="5">
                  <c:v>3975.18</c:v>
                </c:pt>
                <c:pt idx="6">
                  <c:v>13061.91</c:v>
                </c:pt>
                <c:pt idx="7">
                  <c:v>46736.35</c:v>
                </c:pt>
                <c:pt idx="8">
                  <c:v>9762.66</c:v>
                </c:pt>
                <c:pt idx="9">
                  <c:v>24449.4</c:v>
                </c:pt>
                <c:pt idx="10">
                  <c:v>21143.119999999999</c:v>
                </c:pt>
                <c:pt idx="11">
                  <c:v>61774.039999999994</c:v>
                </c:pt>
              </c:numCache>
            </c:numRef>
          </c:val>
          <c:smooth val="0"/>
        </c:ser>
        <c:ser>
          <c:idx val="2"/>
          <c:order val="2"/>
          <c:tx>
            <c:strRef>
              <c:f>'G.  Material Consumo'!$D$1:$D$2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Consumo'!$D$3:$D$15</c:f>
              <c:numCache>
                <c:formatCode>General</c:formatCode>
                <c:ptCount val="12"/>
                <c:pt idx="0">
                  <c:v>1546.01</c:v>
                </c:pt>
                <c:pt idx="1">
                  <c:v>5184.75</c:v>
                </c:pt>
                <c:pt idx="2">
                  <c:v>382</c:v>
                </c:pt>
                <c:pt idx="3">
                  <c:v>1841.44</c:v>
                </c:pt>
                <c:pt idx="4">
                  <c:v>2490.39</c:v>
                </c:pt>
                <c:pt idx="5">
                  <c:v>7891.04</c:v>
                </c:pt>
                <c:pt idx="6">
                  <c:v>2292.98</c:v>
                </c:pt>
                <c:pt idx="7">
                  <c:v>3236.82</c:v>
                </c:pt>
                <c:pt idx="8">
                  <c:v>2309.62</c:v>
                </c:pt>
                <c:pt idx="9">
                  <c:v>9788.39</c:v>
                </c:pt>
                <c:pt idx="10">
                  <c:v>883.12</c:v>
                </c:pt>
                <c:pt idx="11">
                  <c:v>61278.119999999995</c:v>
                </c:pt>
              </c:numCache>
            </c:numRef>
          </c:val>
          <c:smooth val="0"/>
        </c:ser>
        <c:ser>
          <c:idx val="3"/>
          <c:order val="3"/>
          <c:tx>
            <c:strRef>
              <c:f>'G.  Material Consumo'!$E$1:$E$2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Consumo'!$E$3:$E$15</c:f>
              <c:numCache>
                <c:formatCode>General</c:formatCode>
                <c:ptCount val="12"/>
                <c:pt idx="0">
                  <c:v>207.01</c:v>
                </c:pt>
                <c:pt idx="1">
                  <c:v>1926.76</c:v>
                </c:pt>
                <c:pt idx="2">
                  <c:v>6806.56</c:v>
                </c:pt>
                <c:pt idx="3">
                  <c:v>20660.97</c:v>
                </c:pt>
                <c:pt idx="4">
                  <c:v>3094.03</c:v>
                </c:pt>
                <c:pt idx="5">
                  <c:v>2225.81</c:v>
                </c:pt>
                <c:pt idx="6">
                  <c:v>10424.77</c:v>
                </c:pt>
                <c:pt idx="7">
                  <c:v>4561.24</c:v>
                </c:pt>
                <c:pt idx="8">
                  <c:v>4624.58</c:v>
                </c:pt>
                <c:pt idx="9">
                  <c:v>3051.77</c:v>
                </c:pt>
                <c:pt idx="10">
                  <c:v>8694.6200000000008</c:v>
                </c:pt>
                <c:pt idx="11">
                  <c:v>28475.88</c:v>
                </c:pt>
              </c:numCache>
            </c:numRef>
          </c:val>
          <c:smooth val="0"/>
        </c:ser>
        <c:ser>
          <c:idx val="4"/>
          <c:order val="4"/>
          <c:tx>
            <c:strRef>
              <c:f>'G.  Material Consumo'!$F$1:$F$2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Consumo'!$F$3:$F$15</c:f>
              <c:numCache>
                <c:formatCode>General</c:formatCode>
                <c:ptCount val="12"/>
                <c:pt idx="0">
                  <c:v>89.54</c:v>
                </c:pt>
                <c:pt idx="1">
                  <c:v>12885.82</c:v>
                </c:pt>
                <c:pt idx="2">
                  <c:v>0</c:v>
                </c:pt>
                <c:pt idx="3">
                  <c:v>5753.83</c:v>
                </c:pt>
                <c:pt idx="4">
                  <c:v>18725.88</c:v>
                </c:pt>
              </c:numCache>
            </c:numRef>
          </c:val>
          <c:smooth val="0"/>
        </c:ser>
        <c:dLbls>
          <c:showLegendKey val="0"/>
          <c:showVal val="0"/>
          <c:showCatName val="0"/>
          <c:showSerName val="0"/>
          <c:showPercent val="0"/>
          <c:showBubbleSize val="0"/>
        </c:dLbls>
        <c:marker val="1"/>
        <c:smooth val="0"/>
        <c:axId val="-373558672"/>
        <c:axId val="-373558128"/>
      </c:lineChart>
      <c:catAx>
        <c:axId val="-37355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58128"/>
        <c:crosses val="autoZero"/>
        <c:auto val="1"/>
        <c:lblAlgn val="ctr"/>
        <c:lblOffset val="100"/>
        <c:noMultiLvlLbl val="0"/>
      </c:catAx>
      <c:valAx>
        <c:axId val="-37355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58672"/>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Diarias Func!Tabela dinâmica6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Diárias de Funcionários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
        <c:idx val="48"/>
        <c:spPr>
          <a:solidFill>
            <a:schemeClr val="accent1"/>
          </a:solidFill>
          <a:ln>
            <a:noFill/>
          </a:ln>
          <a:effectLst/>
        </c:spPr>
        <c:marker>
          <c:symbol val="none"/>
        </c:marker>
      </c:pivotFmt>
      <c:pivotFmt>
        <c:idx val="49"/>
        <c:spPr>
          <a:solidFill>
            <a:schemeClr val="accent1"/>
          </a:solidFill>
          <a:ln>
            <a:noFill/>
          </a:ln>
          <a:effectLst/>
        </c:spPr>
        <c:marker>
          <c:symbol val="none"/>
        </c:marker>
      </c:pivotFmt>
      <c:pivotFmt>
        <c:idx val="50"/>
        <c:spPr>
          <a:solidFill>
            <a:schemeClr val="accent1"/>
          </a:solidFill>
          <a:ln>
            <a:noFill/>
          </a:ln>
          <a:effectLst/>
        </c:spPr>
        <c:marker>
          <c:symbol val="none"/>
        </c:marker>
      </c:pivotFmt>
      <c:pivotFmt>
        <c:idx val="51"/>
        <c:spPr>
          <a:solidFill>
            <a:schemeClr val="accent1"/>
          </a:solidFill>
          <a:ln>
            <a:noFill/>
          </a:ln>
          <a:effectLst/>
        </c:spPr>
        <c:marker>
          <c:symbol val="none"/>
        </c:marker>
      </c:pivotFmt>
      <c:pivotFmt>
        <c:idx val="52"/>
        <c:spPr>
          <a:solidFill>
            <a:schemeClr val="accent1"/>
          </a:solidFill>
          <a:ln>
            <a:noFill/>
          </a:ln>
          <a:effectLst/>
        </c:spPr>
        <c:marker>
          <c:symbol val="none"/>
        </c:marker>
      </c:pivotFmt>
      <c:pivotFmt>
        <c:idx val="53"/>
        <c:spPr>
          <a:solidFill>
            <a:schemeClr val="accent1"/>
          </a:solidFill>
          <a:ln>
            <a:noFill/>
          </a:ln>
          <a:effectLst/>
        </c:spPr>
        <c:marker>
          <c:symbol val="none"/>
        </c:marker>
      </c:pivotFmt>
      <c:pivotFmt>
        <c:idx val="54"/>
        <c:spPr>
          <a:solidFill>
            <a:schemeClr val="accent1"/>
          </a:solidFill>
          <a:ln>
            <a:noFill/>
          </a:ln>
          <a:effectLst/>
        </c:spPr>
        <c:marker>
          <c:symbol val="none"/>
        </c:marker>
      </c:pivotFmt>
      <c:pivotFmt>
        <c:idx val="55"/>
        <c:spPr>
          <a:solidFill>
            <a:schemeClr val="accent1"/>
          </a:solidFill>
          <a:ln>
            <a:noFill/>
          </a:ln>
          <a:effectLst/>
        </c:spPr>
        <c:marker>
          <c:symbol val="none"/>
        </c:marker>
      </c:pivotFmt>
      <c:pivotFmt>
        <c:idx val="56"/>
        <c:spPr>
          <a:solidFill>
            <a:schemeClr val="accent1"/>
          </a:solidFill>
          <a:ln>
            <a:noFill/>
          </a:ln>
          <a:effectLst/>
        </c:spPr>
        <c:marker>
          <c:symbol val="none"/>
        </c:marker>
      </c:pivotFmt>
      <c:pivotFmt>
        <c:idx val="57"/>
        <c:spPr>
          <a:solidFill>
            <a:schemeClr val="accent1"/>
          </a:solidFill>
          <a:ln>
            <a:noFill/>
          </a:ln>
          <a:effectLst/>
        </c:spPr>
        <c:marker>
          <c:symbol val="none"/>
        </c:marker>
      </c:pivotFmt>
      <c:pivotFmt>
        <c:idx val="58"/>
        <c:spPr>
          <a:solidFill>
            <a:schemeClr val="accent1"/>
          </a:solidFill>
          <a:ln>
            <a:noFill/>
          </a:ln>
          <a:effectLst/>
        </c:spPr>
        <c:marker>
          <c:symbol val="none"/>
        </c:marker>
      </c:pivotFmt>
      <c:pivotFmt>
        <c:idx val="59"/>
        <c:spPr>
          <a:solidFill>
            <a:schemeClr val="accent1"/>
          </a:solidFill>
          <a:ln>
            <a:noFill/>
          </a:ln>
          <a:effectLst/>
        </c:spPr>
        <c:marker>
          <c:symbol val="none"/>
        </c:marker>
      </c:pivotFmt>
      <c:pivotFmt>
        <c:idx val="60"/>
        <c:spPr>
          <a:solidFill>
            <a:schemeClr val="accent1"/>
          </a:solidFill>
          <a:ln>
            <a:noFill/>
          </a:ln>
          <a:effectLst/>
        </c:spPr>
        <c:marker>
          <c:symbol val="none"/>
        </c:marker>
      </c:pivotFmt>
      <c:pivotFmt>
        <c:idx val="61"/>
        <c:spPr>
          <a:solidFill>
            <a:schemeClr val="accent1"/>
          </a:solidFill>
          <a:ln>
            <a:noFill/>
          </a:ln>
          <a:effectLst/>
        </c:spPr>
        <c:marker>
          <c:symbol val="none"/>
        </c:marker>
      </c:pivotFmt>
      <c:pivotFmt>
        <c:idx val="62"/>
        <c:spPr>
          <a:solidFill>
            <a:schemeClr val="accent1"/>
          </a:solidFill>
          <a:ln>
            <a:noFill/>
          </a:ln>
          <a:effectLst/>
        </c:spPr>
        <c:marker>
          <c:symbol val="none"/>
        </c:marker>
      </c:pivotFmt>
      <c:pivotFmt>
        <c:idx val="63"/>
        <c:spPr>
          <a:solidFill>
            <a:schemeClr val="accent1"/>
          </a:solidFill>
          <a:ln>
            <a:noFill/>
          </a:ln>
          <a:effectLst/>
        </c:spPr>
        <c:marker>
          <c:symbol val="none"/>
        </c:marker>
      </c:pivotFmt>
      <c:pivotFmt>
        <c:idx val="64"/>
        <c:spPr>
          <a:solidFill>
            <a:schemeClr val="accent1"/>
          </a:solidFill>
          <a:ln>
            <a:noFill/>
          </a:ln>
          <a:effectLst/>
        </c:spPr>
        <c:marker>
          <c:symbol val="none"/>
        </c:marker>
      </c:pivotFmt>
      <c:pivotFmt>
        <c:idx val="65"/>
        <c:spPr>
          <a:solidFill>
            <a:schemeClr val="accent1"/>
          </a:solidFill>
          <a:ln>
            <a:noFill/>
          </a:ln>
          <a:effectLst/>
        </c:spPr>
        <c:marker>
          <c:symbol val="none"/>
        </c:marker>
      </c:pivotFmt>
      <c:pivotFmt>
        <c:idx val="66"/>
        <c:spPr>
          <a:solidFill>
            <a:schemeClr val="accent1"/>
          </a:solidFill>
          <a:ln>
            <a:noFill/>
          </a:ln>
          <a:effectLst/>
        </c:spPr>
        <c:marker>
          <c:symbol val="none"/>
        </c:marker>
      </c:pivotFmt>
      <c:pivotFmt>
        <c:idx val="67"/>
        <c:spPr>
          <a:solidFill>
            <a:schemeClr val="accent1"/>
          </a:solidFill>
          <a:ln>
            <a:noFill/>
          </a:ln>
          <a:effectLst/>
        </c:spPr>
        <c:marker>
          <c:symbol val="none"/>
        </c:marker>
      </c:pivotFmt>
      <c:pivotFmt>
        <c:idx val="68"/>
        <c:spPr>
          <a:solidFill>
            <a:schemeClr val="accent1"/>
          </a:solidFill>
          <a:ln>
            <a:noFill/>
          </a:ln>
          <a:effectLst/>
        </c:spPr>
        <c:marker>
          <c:symbol val="none"/>
        </c:marker>
      </c:pivotFmt>
      <c:pivotFmt>
        <c:idx val="69"/>
        <c:spPr>
          <a:solidFill>
            <a:schemeClr val="accent1"/>
          </a:solidFill>
          <a:ln>
            <a:noFill/>
          </a:ln>
          <a:effectLst/>
        </c:spPr>
        <c:marker>
          <c:symbol val="none"/>
        </c:marker>
      </c:pivotFmt>
      <c:pivotFmt>
        <c:idx val="70"/>
        <c:spPr>
          <a:solidFill>
            <a:schemeClr val="accent1"/>
          </a:solidFill>
          <a:ln>
            <a:noFill/>
          </a:ln>
          <a:effectLst/>
        </c:spPr>
        <c:marker>
          <c:symbol val="none"/>
        </c:marker>
      </c:pivotFmt>
      <c:pivotFmt>
        <c:idx val="71"/>
        <c:spPr>
          <a:solidFill>
            <a:schemeClr val="accent1"/>
          </a:solidFill>
          <a:ln>
            <a:noFill/>
          </a:ln>
          <a:effectLst/>
        </c:spPr>
        <c:marker>
          <c:symbol val="none"/>
        </c:marker>
      </c:pivotFmt>
      <c:pivotFmt>
        <c:idx val="72"/>
        <c:spPr>
          <a:solidFill>
            <a:schemeClr val="accent1"/>
          </a:solidFill>
          <a:ln>
            <a:noFill/>
          </a:ln>
          <a:effectLst/>
        </c:spPr>
        <c:marker>
          <c:symbol val="none"/>
        </c:marker>
      </c:pivotFmt>
      <c:pivotFmt>
        <c:idx val="73"/>
        <c:spPr>
          <a:solidFill>
            <a:schemeClr val="accent1"/>
          </a:solidFill>
          <a:ln>
            <a:noFill/>
          </a:ln>
          <a:effectLst/>
        </c:spPr>
        <c:marker>
          <c:symbol val="none"/>
        </c:marker>
      </c:pivotFmt>
      <c:pivotFmt>
        <c:idx val="74"/>
        <c:spPr>
          <a:solidFill>
            <a:schemeClr val="accent1"/>
          </a:solidFill>
          <a:ln>
            <a:noFill/>
          </a:ln>
          <a:effectLst/>
        </c:spPr>
        <c:marker>
          <c:symbol val="none"/>
        </c:marker>
      </c:pivotFmt>
      <c:pivotFmt>
        <c:idx val="75"/>
        <c:spPr>
          <a:solidFill>
            <a:schemeClr val="accent1"/>
          </a:solidFill>
          <a:ln>
            <a:noFill/>
          </a:ln>
          <a:effectLst/>
        </c:spPr>
        <c:marker>
          <c:symbol val="none"/>
        </c:marker>
      </c:pivotFmt>
      <c:pivotFmt>
        <c:idx val="76"/>
        <c:spPr>
          <a:solidFill>
            <a:schemeClr val="accent1"/>
          </a:solidFill>
          <a:ln>
            <a:noFill/>
          </a:ln>
          <a:effectLst/>
        </c:spPr>
        <c:marker>
          <c:symbol val="none"/>
        </c:marker>
      </c:pivotFmt>
      <c:pivotFmt>
        <c:idx val="77"/>
        <c:spPr>
          <a:solidFill>
            <a:schemeClr val="accent1"/>
          </a:solidFill>
          <a:ln>
            <a:noFill/>
          </a:ln>
          <a:effectLst/>
        </c:spPr>
        <c:marker>
          <c:symbol val="none"/>
        </c:marker>
      </c:pivotFmt>
      <c:pivotFmt>
        <c:idx val="78"/>
        <c:spPr>
          <a:solidFill>
            <a:schemeClr val="accent1"/>
          </a:solidFill>
          <a:ln>
            <a:noFill/>
          </a:ln>
          <a:effectLst/>
        </c:spPr>
        <c:marker>
          <c:symbol val="none"/>
        </c:marker>
      </c:pivotFmt>
      <c:pivotFmt>
        <c:idx val="79"/>
        <c:spPr>
          <a:solidFill>
            <a:schemeClr val="accent1"/>
          </a:solidFill>
          <a:ln>
            <a:noFill/>
          </a:ln>
          <a:effectLst/>
        </c:spPr>
        <c:marker>
          <c:symbol val="none"/>
        </c:marker>
      </c:pivotFmt>
      <c:pivotFmt>
        <c:idx val="80"/>
        <c:spPr>
          <a:solidFill>
            <a:schemeClr val="accent1"/>
          </a:solidFill>
          <a:ln>
            <a:noFill/>
          </a:ln>
          <a:effectLst/>
        </c:spPr>
        <c:marker>
          <c:symbol val="none"/>
        </c:marker>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9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9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9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Diarias Func'!$B$1:$B$2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Diarias Func'!$A$3:$A$15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 Func'!$B$3:$B$15</c:f>
              <c:numCache>
                <c:formatCode>General</c:formatCode>
                <c:ptCount val="12"/>
                <c:pt idx="0">
                  <c:v>3618.4</c:v>
                </c:pt>
                <c:pt idx="1">
                  <c:v>3376.8</c:v>
                </c:pt>
                <c:pt idx="2">
                  <c:v>9527.4</c:v>
                </c:pt>
                <c:pt idx="3">
                  <c:v>5969.85</c:v>
                </c:pt>
                <c:pt idx="4">
                  <c:v>15559.8</c:v>
                </c:pt>
                <c:pt idx="5">
                  <c:v>4522.8500000000004</c:v>
                </c:pt>
                <c:pt idx="6">
                  <c:v>9389.4500000000007</c:v>
                </c:pt>
                <c:pt idx="7">
                  <c:v>11479.08</c:v>
                </c:pt>
                <c:pt idx="8">
                  <c:v>8442.7000000000007</c:v>
                </c:pt>
                <c:pt idx="9">
                  <c:v>8587.36</c:v>
                </c:pt>
                <c:pt idx="10">
                  <c:v>9902.43</c:v>
                </c:pt>
                <c:pt idx="11">
                  <c:v>3437.45</c:v>
                </c:pt>
              </c:numCache>
            </c:numRef>
          </c:val>
          <c:smooth val="0"/>
        </c:ser>
        <c:ser>
          <c:idx val="1"/>
          <c:order val="1"/>
          <c:tx>
            <c:strRef>
              <c:f>'G. Diarias Func'!$C$1:$C$2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Diarias Func'!$A$3:$A$15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 Func'!$C$3:$C$15</c:f>
              <c:numCache>
                <c:formatCode>General</c:formatCode>
                <c:ptCount val="12"/>
                <c:pt idx="0">
                  <c:v>1929.6</c:v>
                </c:pt>
                <c:pt idx="1">
                  <c:v>10673.65</c:v>
                </c:pt>
                <c:pt idx="2">
                  <c:v>13957.25</c:v>
                </c:pt>
                <c:pt idx="3">
                  <c:v>13423.69</c:v>
                </c:pt>
                <c:pt idx="4">
                  <c:v>13544.39</c:v>
                </c:pt>
                <c:pt idx="5">
                  <c:v>7718.8</c:v>
                </c:pt>
                <c:pt idx="6">
                  <c:v>7598.5</c:v>
                </c:pt>
                <c:pt idx="7">
                  <c:v>14784.2</c:v>
                </c:pt>
                <c:pt idx="8">
                  <c:v>10493.4</c:v>
                </c:pt>
                <c:pt idx="9">
                  <c:v>21168.15</c:v>
                </c:pt>
                <c:pt idx="10">
                  <c:v>19427.55</c:v>
                </c:pt>
                <c:pt idx="11">
                  <c:v>5427.4</c:v>
                </c:pt>
              </c:numCache>
            </c:numRef>
          </c:val>
          <c:smooth val="0"/>
        </c:ser>
        <c:ser>
          <c:idx val="2"/>
          <c:order val="2"/>
          <c:tx>
            <c:strRef>
              <c:f>'G. Diarias Func'!$D$1:$D$2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Diarias Func'!$A$3:$A$15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 Func'!$D$3:$D$15</c:f>
              <c:numCache>
                <c:formatCode>General</c:formatCode>
                <c:ptCount val="12"/>
                <c:pt idx="0">
                  <c:v>5547.6</c:v>
                </c:pt>
                <c:pt idx="1">
                  <c:v>11337.1</c:v>
                </c:pt>
                <c:pt idx="2">
                  <c:v>1929.6</c:v>
                </c:pt>
                <c:pt idx="3">
                  <c:v>0</c:v>
                </c:pt>
                <c:pt idx="4">
                  <c:v>0</c:v>
                </c:pt>
                <c:pt idx="5">
                  <c:v>603</c:v>
                </c:pt>
                <c:pt idx="6">
                  <c:v>241.2</c:v>
                </c:pt>
                <c:pt idx="7">
                  <c:v>482.4</c:v>
                </c:pt>
                <c:pt idx="8">
                  <c:v>723.6</c:v>
                </c:pt>
                <c:pt idx="9">
                  <c:v>603</c:v>
                </c:pt>
                <c:pt idx="10">
                  <c:v>241.2</c:v>
                </c:pt>
                <c:pt idx="11">
                  <c:v>361.8</c:v>
                </c:pt>
              </c:numCache>
            </c:numRef>
          </c:val>
          <c:smooth val="0"/>
        </c:ser>
        <c:ser>
          <c:idx val="3"/>
          <c:order val="3"/>
          <c:tx>
            <c:strRef>
              <c:f>'G. Diarias Func'!$E$1:$E$2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Diarias Func'!$A$3:$A$15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 Func'!$E$3:$E$15</c:f>
              <c:numCache>
                <c:formatCode>General</c:formatCode>
                <c:ptCount val="12"/>
                <c:pt idx="0">
                  <c:v>361.8</c:v>
                </c:pt>
                <c:pt idx="1">
                  <c:v>1447.2</c:v>
                </c:pt>
                <c:pt idx="2">
                  <c:v>603</c:v>
                </c:pt>
                <c:pt idx="3">
                  <c:v>2170.8000000000002</c:v>
                </c:pt>
                <c:pt idx="4">
                  <c:v>844.2</c:v>
                </c:pt>
                <c:pt idx="5">
                  <c:v>3618</c:v>
                </c:pt>
                <c:pt idx="6">
                  <c:v>603</c:v>
                </c:pt>
                <c:pt idx="7">
                  <c:v>4341.6000000000004</c:v>
                </c:pt>
                <c:pt idx="8">
                  <c:v>4462.2</c:v>
                </c:pt>
                <c:pt idx="9">
                  <c:v>3618</c:v>
                </c:pt>
                <c:pt idx="10">
                  <c:v>2291.4</c:v>
                </c:pt>
                <c:pt idx="11">
                  <c:v>482.4</c:v>
                </c:pt>
              </c:numCache>
            </c:numRef>
          </c:val>
          <c:smooth val="0"/>
        </c:ser>
        <c:ser>
          <c:idx val="4"/>
          <c:order val="4"/>
          <c:tx>
            <c:strRef>
              <c:f>'G. Diarias Func'!$F$1:$F$2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Diarias Func'!$A$3:$A$15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 Func'!$F$3:$F$15</c:f>
              <c:numCache>
                <c:formatCode>General</c:formatCode>
                <c:ptCount val="12"/>
                <c:pt idx="0">
                  <c:v>723.6</c:v>
                </c:pt>
                <c:pt idx="1">
                  <c:v>1567.8</c:v>
                </c:pt>
                <c:pt idx="2">
                  <c:v>5547.6</c:v>
                </c:pt>
                <c:pt idx="3">
                  <c:v>2050.1999999999998</c:v>
                </c:pt>
                <c:pt idx="4">
                  <c:v>5849.75</c:v>
                </c:pt>
              </c:numCache>
            </c:numRef>
          </c:val>
          <c:smooth val="0"/>
        </c:ser>
        <c:dLbls>
          <c:showLegendKey val="0"/>
          <c:showVal val="0"/>
          <c:showCatName val="0"/>
          <c:showSerName val="0"/>
          <c:showPercent val="0"/>
          <c:showBubbleSize val="0"/>
        </c:dLbls>
        <c:marker val="1"/>
        <c:smooth val="0"/>
        <c:axId val="-373557584"/>
        <c:axId val="-373555952"/>
      </c:lineChart>
      <c:catAx>
        <c:axId val="-37355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55952"/>
        <c:crosses val="autoZero"/>
        <c:auto val="1"/>
        <c:lblAlgn val="ctr"/>
        <c:lblOffset val="100"/>
        <c:noMultiLvlLbl val="0"/>
      </c:catAx>
      <c:valAx>
        <c:axId val="-373555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57584"/>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05.2022.xlsx]G. Outros Serv. PF!Tabela dinâmica7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Outros Serviços de Terceiros PF</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Outros Serv. PF'!$B$1:$B$2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Outros Serv. PF'!$A$3:$A$15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Outros Serv. PF'!$B$3:$B$15</c:f>
              <c:numCache>
                <c:formatCode>General</c:formatCode>
                <c:ptCount val="12"/>
                <c:pt idx="0">
                  <c:v>9383.11</c:v>
                </c:pt>
                <c:pt idx="1">
                  <c:v>8773.84</c:v>
                </c:pt>
                <c:pt idx="2">
                  <c:v>8838.2199999999993</c:v>
                </c:pt>
                <c:pt idx="3">
                  <c:v>8652.6299999999992</c:v>
                </c:pt>
                <c:pt idx="4">
                  <c:v>8180.95</c:v>
                </c:pt>
                <c:pt idx="5">
                  <c:v>8155.14</c:v>
                </c:pt>
                <c:pt idx="6">
                  <c:v>7738.73</c:v>
                </c:pt>
                <c:pt idx="7">
                  <c:v>7298.35</c:v>
                </c:pt>
                <c:pt idx="8">
                  <c:v>7794.93</c:v>
                </c:pt>
                <c:pt idx="9">
                  <c:v>8324.66</c:v>
                </c:pt>
                <c:pt idx="10">
                  <c:v>7149.09</c:v>
                </c:pt>
                <c:pt idx="11">
                  <c:v>6674.66</c:v>
                </c:pt>
              </c:numCache>
            </c:numRef>
          </c:val>
          <c:smooth val="0"/>
        </c:ser>
        <c:ser>
          <c:idx val="1"/>
          <c:order val="1"/>
          <c:tx>
            <c:strRef>
              <c:f>'G. Outros Serv. PF'!$C$1:$C$2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Outros Serv. PF'!$A$3:$A$15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Outros Serv. PF'!$C$3:$C$15</c:f>
              <c:numCache>
                <c:formatCode>General</c:formatCode>
                <c:ptCount val="12"/>
                <c:pt idx="0">
                  <c:v>7161.09</c:v>
                </c:pt>
                <c:pt idx="1">
                  <c:v>7261.52</c:v>
                </c:pt>
                <c:pt idx="2">
                  <c:v>8209.52</c:v>
                </c:pt>
                <c:pt idx="3">
                  <c:v>10116.34</c:v>
                </c:pt>
                <c:pt idx="4">
                  <c:v>9903.9</c:v>
                </c:pt>
                <c:pt idx="5">
                  <c:v>10444.93</c:v>
                </c:pt>
                <c:pt idx="6">
                  <c:v>11362.3</c:v>
                </c:pt>
                <c:pt idx="7">
                  <c:v>10728.81</c:v>
                </c:pt>
                <c:pt idx="8">
                  <c:v>21604.73</c:v>
                </c:pt>
                <c:pt idx="9">
                  <c:v>10951.83</c:v>
                </c:pt>
                <c:pt idx="10">
                  <c:v>10909.37</c:v>
                </c:pt>
                <c:pt idx="11">
                  <c:v>11383.54</c:v>
                </c:pt>
              </c:numCache>
            </c:numRef>
          </c:val>
          <c:smooth val="0"/>
        </c:ser>
        <c:ser>
          <c:idx val="2"/>
          <c:order val="2"/>
          <c:tx>
            <c:strRef>
              <c:f>'G. Outros Serv. PF'!$D$1:$D$2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Outros Serv. PF'!$A$3:$A$15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Outros Serv. PF'!$D$3:$D$15</c:f>
              <c:numCache>
                <c:formatCode>General</c:formatCode>
                <c:ptCount val="12"/>
                <c:pt idx="0">
                  <c:v>10062.92</c:v>
                </c:pt>
                <c:pt idx="1">
                  <c:v>7726.97</c:v>
                </c:pt>
                <c:pt idx="2">
                  <c:v>8302.69</c:v>
                </c:pt>
                <c:pt idx="3">
                  <c:v>9449.01</c:v>
                </c:pt>
                <c:pt idx="4">
                  <c:v>6116.95</c:v>
                </c:pt>
                <c:pt idx="5">
                  <c:v>5643.36</c:v>
                </c:pt>
                <c:pt idx="6">
                  <c:v>4469.88</c:v>
                </c:pt>
                <c:pt idx="7">
                  <c:v>4469.88</c:v>
                </c:pt>
                <c:pt idx="8">
                  <c:v>4280.42</c:v>
                </c:pt>
                <c:pt idx="9">
                  <c:v>4244.3</c:v>
                </c:pt>
                <c:pt idx="10">
                  <c:v>4171.66</c:v>
                </c:pt>
                <c:pt idx="11">
                  <c:v>4032.26</c:v>
                </c:pt>
              </c:numCache>
            </c:numRef>
          </c:val>
          <c:smooth val="0"/>
        </c:ser>
        <c:ser>
          <c:idx val="3"/>
          <c:order val="3"/>
          <c:tx>
            <c:strRef>
              <c:f>'G. Outros Serv. PF'!$E$1:$E$2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Outros Serv. PF'!$A$3:$A$15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Outros Serv. PF'!$E$3:$E$15</c:f>
              <c:numCache>
                <c:formatCode>General</c:formatCode>
                <c:ptCount val="12"/>
                <c:pt idx="0">
                  <c:v>3978.29</c:v>
                </c:pt>
                <c:pt idx="1">
                  <c:v>4545.8999999999996</c:v>
                </c:pt>
                <c:pt idx="2">
                  <c:v>4409.0600000000004</c:v>
                </c:pt>
                <c:pt idx="3">
                  <c:v>3679.28</c:v>
                </c:pt>
                <c:pt idx="4">
                  <c:v>4621.91</c:v>
                </c:pt>
                <c:pt idx="5">
                  <c:v>7043</c:v>
                </c:pt>
                <c:pt idx="6">
                  <c:v>4743.72</c:v>
                </c:pt>
                <c:pt idx="7">
                  <c:v>3762.26</c:v>
                </c:pt>
                <c:pt idx="8">
                  <c:v>3762.25</c:v>
                </c:pt>
                <c:pt idx="9">
                  <c:v>6406.74</c:v>
                </c:pt>
                <c:pt idx="10">
                  <c:v>6582.05</c:v>
                </c:pt>
                <c:pt idx="11">
                  <c:v>4743.72</c:v>
                </c:pt>
              </c:numCache>
            </c:numRef>
          </c:val>
          <c:smooth val="0"/>
        </c:ser>
        <c:ser>
          <c:idx val="4"/>
          <c:order val="4"/>
          <c:tx>
            <c:strRef>
              <c:f>'G. Outros Serv. PF'!$F$1:$F$2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Outros Serv. PF'!$A$3:$A$15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Outros Serv. PF'!$F$3:$F$15</c:f>
              <c:numCache>
                <c:formatCode>General</c:formatCode>
                <c:ptCount val="12"/>
                <c:pt idx="0">
                  <c:v>5299.87</c:v>
                </c:pt>
                <c:pt idx="1">
                  <c:v>10796.04</c:v>
                </c:pt>
                <c:pt idx="2">
                  <c:v>13576.86</c:v>
                </c:pt>
                <c:pt idx="3">
                  <c:v>13413.25</c:v>
                </c:pt>
                <c:pt idx="4">
                  <c:v>18747.919999999998</c:v>
                </c:pt>
              </c:numCache>
            </c:numRef>
          </c:val>
          <c:smooth val="0"/>
        </c:ser>
        <c:dLbls>
          <c:showLegendKey val="0"/>
          <c:showVal val="0"/>
          <c:showCatName val="0"/>
          <c:showSerName val="0"/>
          <c:showPercent val="0"/>
          <c:showBubbleSize val="0"/>
        </c:dLbls>
        <c:marker val="1"/>
        <c:smooth val="0"/>
        <c:axId val="-373559216"/>
        <c:axId val="-373562480"/>
      </c:lineChart>
      <c:catAx>
        <c:axId val="-37355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62480"/>
        <c:crosses val="autoZero"/>
        <c:auto val="1"/>
        <c:lblAlgn val="ctr"/>
        <c:lblOffset val="100"/>
        <c:noMultiLvlLbl val="0"/>
      </c:catAx>
      <c:valAx>
        <c:axId val="-37356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3559216"/>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A0267-05B6-40B8-BD4C-99B7BBD0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1618</Words>
  <Characters>8739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3</cp:revision>
  <cp:lastPrinted>2021-11-22T12:22:00Z</cp:lastPrinted>
  <dcterms:created xsi:type="dcterms:W3CDTF">2022-08-02T19:29:00Z</dcterms:created>
  <dcterms:modified xsi:type="dcterms:W3CDTF">2022-08-04T20:43:00Z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