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346E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346E2E">
              <w:rPr>
                <w:rFonts w:asciiTheme="minorHAnsi" w:hAnsiTheme="minorHAnsi" w:cstheme="minorHAnsi"/>
              </w:rPr>
              <w:t>1488850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346E2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Arquiteto e Urbanista </w:t>
            </w:r>
            <w:r w:rsidR="00346E2E" w:rsidRPr="00346E2E">
              <w:rPr>
                <w:rFonts w:asciiTheme="minorHAnsi" w:hAnsiTheme="minorHAnsi" w:cstheme="minorHAnsi"/>
                <w:bCs/>
                <w:lang w:eastAsia="pt-BR"/>
              </w:rPr>
              <w:t>L</w:t>
            </w:r>
            <w:r w:rsidR="00346E2E">
              <w:rPr>
                <w:rFonts w:asciiTheme="minorHAnsi" w:hAnsiTheme="minorHAnsi" w:cstheme="minorHAnsi"/>
                <w:bCs/>
                <w:lang w:eastAsia="pt-BR"/>
              </w:rPr>
              <w:t>.</w:t>
            </w:r>
            <w:r w:rsidR="00346E2E" w:rsidRPr="00346E2E">
              <w:rPr>
                <w:rFonts w:asciiTheme="minorHAnsi" w:hAnsiTheme="minorHAnsi" w:cstheme="minorHAnsi"/>
                <w:bCs/>
                <w:lang w:eastAsia="pt-BR"/>
              </w:rPr>
              <w:t>F</w:t>
            </w:r>
            <w:r w:rsidR="00346E2E">
              <w:rPr>
                <w:rFonts w:asciiTheme="minorHAnsi" w:hAnsiTheme="minorHAnsi" w:cstheme="minorHAnsi"/>
                <w:bCs/>
                <w:lang w:eastAsia="pt-BR"/>
              </w:rPr>
              <w:t xml:space="preserve">. </w:t>
            </w:r>
            <w:r w:rsidR="00346E2E" w:rsidRPr="00346E2E">
              <w:rPr>
                <w:rFonts w:asciiTheme="minorHAnsi" w:hAnsiTheme="minorHAnsi" w:cstheme="minorHAnsi"/>
                <w:bCs/>
                <w:lang w:eastAsia="pt-BR"/>
              </w:rPr>
              <w:t>DA</w:t>
            </w:r>
            <w:r w:rsidR="00346E2E">
              <w:rPr>
                <w:rFonts w:asciiTheme="minorHAnsi" w:hAnsiTheme="minorHAnsi" w:cstheme="minorHAnsi"/>
                <w:bCs/>
                <w:lang w:eastAsia="pt-BR"/>
              </w:rPr>
              <w:t xml:space="preserve"> S.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8361D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Solicitação de Isenção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de pagamento de anuidade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por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comprovação 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1F767F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8361DB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25D04">
        <w:rPr>
          <w:rFonts w:asciiTheme="minorHAnsi" w:hAnsiTheme="minorHAnsi" w:cstheme="minorHAnsi"/>
          <w:sz w:val="20"/>
          <w:szCs w:val="22"/>
        </w:rPr>
        <w:t xml:space="preserve">Homologa isenção da </w:t>
      </w:r>
      <w:r w:rsidR="00525D04" w:rsidRPr="00525D04">
        <w:rPr>
          <w:rFonts w:asciiTheme="minorHAnsi" w:hAnsiTheme="minorHAnsi" w:cstheme="minorHAnsi"/>
          <w:sz w:val="20"/>
          <w:szCs w:val="22"/>
        </w:rPr>
        <w:t>anuidade 2022 e anuidades subsequentes, por período indeterminado</w:t>
      </w:r>
      <w:r w:rsidRPr="00525D04">
        <w:rPr>
          <w:rFonts w:asciiTheme="minorHAnsi" w:hAnsiTheme="minorHAnsi" w:cstheme="minorHAnsi"/>
          <w:sz w:val="20"/>
          <w:szCs w:val="22"/>
        </w:rPr>
        <w:t>, dentre outras providências.</w:t>
      </w:r>
    </w:p>
    <w:p w:rsidR="00507DD9" w:rsidRPr="008361DB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D7FDA" w:rsidRPr="008361DB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8361DB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 w:rsidRPr="008361DB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8361DB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8361DB">
        <w:rPr>
          <w:rFonts w:asciiTheme="minorHAnsi" w:hAnsiTheme="minorHAnsi" w:cstheme="minorHAnsi"/>
          <w:lang w:eastAsia="pt-BR"/>
        </w:rPr>
        <w:t>Fecomércio</w:t>
      </w:r>
      <w:proofErr w:type="spellEnd"/>
      <w:r w:rsidRPr="008361DB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 w:rsidRPr="008361DB">
        <w:rPr>
          <w:rFonts w:asciiTheme="minorHAnsi" w:hAnsiTheme="minorHAnsi" w:cstheme="minorHAnsi"/>
          <w:lang w:eastAsia="pt-BR"/>
        </w:rPr>
        <w:t>24 de junho</w:t>
      </w:r>
      <w:r w:rsidR="001A2002" w:rsidRPr="008361DB">
        <w:rPr>
          <w:rFonts w:asciiTheme="minorHAnsi" w:hAnsiTheme="minorHAnsi" w:cstheme="minorHAnsi"/>
          <w:lang w:eastAsia="pt-BR"/>
        </w:rPr>
        <w:t xml:space="preserve"> </w:t>
      </w:r>
      <w:r w:rsidRPr="008361DB">
        <w:rPr>
          <w:rFonts w:asciiTheme="minorHAnsi" w:hAnsiTheme="minorHAnsi" w:cstheme="minorHAnsi"/>
          <w:lang w:eastAsia="pt-BR"/>
        </w:rPr>
        <w:t>de 202</w:t>
      </w:r>
      <w:r w:rsidR="0020210B" w:rsidRPr="008361DB">
        <w:rPr>
          <w:rFonts w:asciiTheme="minorHAnsi" w:hAnsiTheme="minorHAnsi" w:cstheme="minorHAnsi"/>
          <w:lang w:eastAsia="pt-BR"/>
        </w:rPr>
        <w:t>2</w:t>
      </w:r>
      <w:r w:rsidRPr="008361DB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8361DB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que o inciso VI, do art. 34, da Lei nº 12.378/2010, estabelece que compete aos </w:t>
      </w:r>
      <w:proofErr w:type="spellStart"/>
      <w:r w:rsidRPr="008361DB">
        <w:rPr>
          <w:rFonts w:asciiTheme="minorHAnsi" w:hAnsiTheme="minorHAnsi" w:cstheme="minorHAnsi"/>
        </w:rPr>
        <w:t>CAUs</w:t>
      </w:r>
      <w:proofErr w:type="spellEnd"/>
      <w:r w:rsidRPr="008361DB">
        <w:rPr>
          <w:rFonts w:asciiTheme="minorHAnsi" w:hAnsiTheme="minorHAnsi" w:cstheme="minorHAnsi"/>
        </w:rPr>
        <w:t xml:space="preserve"> a cobrança das anuidades;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§ 6º, do art. 150, da Constituição Federal, o qual estabelece que “</w:t>
      </w:r>
      <w:r w:rsidRPr="008361DB">
        <w:rPr>
          <w:rFonts w:asciiTheme="minorHAnsi" w:hAnsiTheme="minorHAnsi" w:cstheme="minorHAnsi"/>
          <w:i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II, do art. 111, do Código Tributário Nacional, estipula que se interpreta literalmente a legislação tributária que disponha sobre, entre outros, “</w:t>
      </w:r>
      <w:r w:rsidRPr="008361DB">
        <w:rPr>
          <w:rFonts w:asciiTheme="minorHAnsi" w:hAnsiTheme="minorHAnsi" w:cstheme="minorHAnsi"/>
          <w:i/>
        </w:rPr>
        <w:t>outorga de isenção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I, do art. 175, do Código Tributário Nacional, define a isenção como causa de exclusão do crédito tributário;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176, do Código Tributário Nacional, o qual estabelece que “</w:t>
      </w:r>
      <w:r w:rsidRPr="008361DB">
        <w:rPr>
          <w:rFonts w:asciiTheme="minorHAnsi" w:hAnsiTheme="minorHAnsi" w:cstheme="minorHAnsi"/>
          <w:i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179, do Código Tributário Nacional, o qual define que “</w:t>
      </w:r>
      <w:r w:rsidRPr="008361DB">
        <w:rPr>
          <w:rFonts w:asciiTheme="minorHAnsi" w:hAnsiTheme="minorHAnsi" w:cstheme="minorHAnsi"/>
          <w:i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lastRenderedPageBreak/>
        <w:t>Considerando que, embora a Lei nº 12.378/2010 não estabeleça a possibilidade de isenção de anuidade em razão de doença grave, o § 2º, do art. 6º, da Lei nº 12.514/2011, instituiu que “</w:t>
      </w:r>
      <w:r w:rsidRPr="008361DB">
        <w:rPr>
          <w:rFonts w:asciiTheme="minorHAnsi" w:hAnsiTheme="minorHAnsi" w:cstheme="minorHAnsi"/>
          <w:i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2º, inciso VII, da Resolução nº 134 do CAU/BR, o qual estabelece que “</w:t>
      </w:r>
      <w:r w:rsidRPr="008361DB">
        <w:rPr>
          <w:rFonts w:asciiTheme="minorHAnsi" w:hAnsiTheme="minorHAnsi" w:cstheme="minorHAnsi"/>
          <w:i/>
        </w:rPr>
        <w:t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Lei nº 7.713/1988, que estabelece: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Ficam isentos do imposto de renda os seguintes rendimentos percebidos por pessoas físicas: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da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Instrução Normativa nº 1.500/2014, da Receita Federal Brasileira, que institui: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São isentos ou não se sujeitam ao imposto sobre a renda, os seguintes rendimentos originários pagos por previdências: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</w:t>
      </w:r>
      <w:r w:rsidRPr="008361DB">
        <w:rPr>
          <w:rFonts w:asciiTheme="minorHAnsi" w:hAnsiTheme="minorHAnsi" w:cstheme="minorHAnsi"/>
          <w:i/>
        </w:rPr>
        <w:lastRenderedPageBreak/>
        <w:t xml:space="preserve">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de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de imunodeficiência adquirida (Aids), e fibrose cística (</w:t>
      </w:r>
      <w:proofErr w:type="spellStart"/>
      <w:r w:rsidRPr="008361DB">
        <w:rPr>
          <w:rFonts w:asciiTheme="minorHAnsi" w:hAnsiTheme="minorHAnsi" w:cstheme="minorHAnsi"/>
          <w:i/>
        </w:rPr>
        <w:t>mucoviscidose</w:t>
      </w:r>
      <w:proofErr w:type="spellEnd"/>
      <w:r w:rsidRPr="008361DB">
        <w:rPr>
          <w:rFonts w:asciiTheme="minorHAnsi" w:hAnsiTheme="minorHAnsi" w:cstheme="minorHAnsi"/>
          <w:i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aos</w:t>
      </w:r>
      <w:proofErr w:type="gramEnd"/>
      <w:r w:rsidRPr="008361DB">
        <w:rPr>
          <w:rFonts w:asciiTheme="minorHAnsi" w:hAnsiTheme="minorHAnsi" w:cstheme="minorHAnsi"/>
          <w:i/>
        </w:rPr>
        <w:t xml:space="preserve"> rendimentos recebidos a partir: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a) do mês da concessão da aposentadoria, reforma ou pensão, quando a moléstia for preexistente;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b) do mês da emissão do laudo pericial, se a moléstia for contraída depois da concessão da aposentadoria, reforma ou pensão; ou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c) da data, identificada no laudo pericial, em que a moléstia foi contraída, desde que correspondam a proventos de aposentadoria, reforma ou pensão;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à complementação de aposentadoria, reforma ou pensão recebida por pessoa física com moléstia grave.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5º O laudo pericial a que se refere o § 4º deve conter, no mínimo, as seguintes informações:</w:t>
      </w:r>
    </w:p>
    <w:p w:rsidR="008361DB" w:rsidRPr="008361DB" w:rsidRDefault="008361DB" w:rsidP="008361DB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o</w:t>
      </w:r>
      <w:proofErr w:type="gramEnd"/>
      <w:r w:rsidRPr="008361DB">
        <w:rPr>
          <w:rFonts w:asciiTheme="minorHAnsi" w:hAnsiTheme="minorHAnsi" w:cstheme="minorHAnsi"/>
          <w:i/>
        </w:rPr>
        <w:t xml:space="preserve"> órgão emissor;</w:t>
      </w:r>
      <w:r w:rsidRPr="008361DB">
        <w:rPr>
          <w:rFonts w:asciiTheme="minorHAnsi" w:hAnsiTheme="minorHAnsi" w:cstheme="minorHAnsi"/>
          <w:i/>
        </w:rPr>
        <w:tab/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</w:t>
      </w:r>
      <w:proofErr w:type="gramStart"/>
      <w:r w:rsidRPr="008361DB">
        <w:rPr>
          <w:rFonts w:asciiTheme="minorHAnsi" w:hAnsiTheme="minorHAnsi" w:cstheme="minorHAnsi"/>
          <w:i/>
        </w:rPr>
        <w:t>a</w:t>
      </w:r>
      <w:proofErr w:type="gramEnd"/>
      <w:r w:rsidRPr="008361DB">
        <w:rPr>
          <w:rFonts w:asciiTheme="minorHAnsi" w:hAnsiTheme="minorHAnsi" w:cstheme="minorHAnsi"/>
          <w:i/>
        </w:rPr>
        <w:t xml:space="preserve"> qualificação do portador da moléstia;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 qualificação da pessoa física com moléstia grave;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</w:t>
      </w:r>
      <w:proofErr w:type="gramStart"/>
      <w:r w:rsidRPr="008361DB">
        <w:rPr>
          <w:rFonts w:asciiTheme="minorHAnsi" w:hAnsiTheme="minorHAnsi" w:cstheme="minorHAnsi"/>
          <w:i/>
        </w:rPr>
        <w:t>caso</w:t>
      </w:r>
      <w:proofErr w:type="gramEnd"/>
      <w:r w:rsidRPr="008361DB">
        <w:rPr>
          <w:rFonts w:asciiTheme="minorHAnsi" w:hAnsiTheme="minorHAnsi" w:cstheme="minorHAnsi"/>
          <w:i/>
        </w:rPr>
        <w:t xml:space="preserve"> a moléstia seja passível de controle, o prazo de validade do laudo pericial ao fim do qual o portador de moléstia grave provavelmente esteja assintomático; e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8361DB">
        <w:rPr>
          <w:rFonts w:asciiTheme="minorHAnsi" w:hAnsiTheme="minorHAnsi" w:cstheme="minorHAnsi"/>
          <w:i/>
        </w:rPr>
        <w:t>do(</w:t>
      </w:r>
      <w:proofErr w:type="gramEnd"/>
      <w:r w:rsidRPr="008361DB">
        <w:rPr>
          <w:rFonts w:asciiTheme="minorHAnsi" w:hAnsiTheme="minorHAnsi" w:cstheme="minorHAnsi"/>
          <w:i/>
        </w:rPr>
        <w:t xml:space="preserve">s) </w:t>
      </w:r>
      <w:r w:rsidRPr="008361DB">
        <w:rPr>
          <w:rFonts w:asciiTheme="minorHAnsi" w:hAnsiTheme="minorHAnsi" w:cstheme="minorHAnsi"/>
          <w:i/>
        </w:rPr>
        <w:lastRenderedPageBreak/>
        <w:t>profissional(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do serviço médico oficial responsável(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pela emissão do laudo pericial.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8361DB">
        <w:rPr>
          <w:rFonts w:asciiTheme="minorHAnsi" w:hAnsiTheme="minorHAnsi" w:cstheme="minorHAnsi"/>
          <w:i/>
        </w:rPr>
        <w:t>Incluído(</w:t>
      </w:r>
      <w:proofErr w:type="gramEnd"/>
      <w:r w:rsidRPr="008361DB">
        <w:rPr>
          <w:rFonts w:asciiTheme="minorHAnsi" w:hAnsiTheme="minorHAnsi" w:cstheme="minorHAnsi"/>
          <w:i/>
        </w:rPr>
        <w:t>a) pelo(a) Instrução Normativa RFB nº 1756, de 31 de outubro de 2017)”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482E2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a Deliberação CPFI-CAU/RS nº </w:t>
      </w:r>
      <w:r w:rsidR="00482E2F">
        <w:rPr>
          <w:rFonts w:asciiTheme="minorHAnsi" w:hAnsiTheme="minorHAnsi" w:cstheme="minorHAnsi"/>
        </w:rPr>
        <w:t>027</w:t>
      </w:r>
      <w:r w:rsidRPr="008361DB">
        <w:rPr>
          <w:rFonts w:asciiTheme="minorHAnsi" w:hAnsiTheme="minorHAnsi" w:cstheme="minorHAnsi"/>
        </w:rPr>
        <w:t xml:space="preserve">/2022 que </w:t>
      </w:r>
      <w:r w:rsidR="00482E2F" w:rsidRPr="00482E2F">
        <w:rPr>
          <w:rFonts w:asciiTheme="minorHAnsi" w:hAnsiTheme="minorHAnsi" w:cstheme="minorHAnsi"/>
        </w:rPr>
        <w:t>procedência da solicitação de isenção da anuidade 2022 e anuidades subsequentes</w:t>
      </w:r>
      <w:r w:rsidR="00482E2F">
        <w:rPr>
          <w:rFonts w:asciiTheme="minorHAnsi" w:hAnsiTheme="minorHAnsi" w:cstheme="minorHAnsi"/>
        </w:rPr>
        <w:t xml:space="preserve">, </w:t>
      </w:r>
      <w:r w:rsidR="00482E2F" w:rsidRPr="00482E2F">
        <w:rPr>
          <w:rFonts w:asciiTheme="minorHAnsi" w:hAnsiTheme="minorHAnsi" w:cstheme="minorHAnsi"/>
        </w:rPr>
        <w:t>por período indeterminado</w:t>
      </w:r>
      <w:r w:rsidR="00482E2F">
        <w:rPr>
          <w:rFonts w:asciiTheme="minorHAnsi" w:hAnsiTheme="minorHAnsi" w:cstheme="minorHAnsi"/>
        </w:rPr>
        <w:t>,</w:t>
      </w:r>
      <w:r w:rsidR="00482E2F" w:rsidRPr="00482E2F">
        <w:rPr>
          <w:rFonts w:asciiTheme="minorHAnsi" w:hAnsiTheme="minorHAnsi" w:cstheme="minorHAnsi"/>
        </w:rPr>
        <w:t xml:space="preserve"> do Arquiteto e Urbanista L</w:t>
      </w:r>
      <w:r w:rsidR="00482E2F">
        <w:rPr>
          <w:rFonts w:asciiTheme="minorHAnsi" w:hAnsiTheme="minorHAnsi" w:cstheme="minorHAnsi"/>
        </w:rPr>
        <w:t xml:space="preserve">. </w:t>
      </w:r>
      <w:r w:rsidR="00482E2F" w:rsidRPr="00482E2F">
        <w:rPr>
          <w:rFonts w:asciiTheme="minorHAnsi" w:hAnsiTheme="minorHAnsi" w:cstheme="minorHAnsi"/>
        </w:rPr>
        <w:t>F</w:t>
      </w:r>
      <w:r w:rsidR="00482E2F">
        <w:rPr>
          <w:rFonts w:asciiTheme="minorHAnsi" w:hAnsiTheme="minorHAnsi" w:cstheme="minorHAnsi"/>
        </w:rPr>
        <w:t xml:space="preserve">. </w:t>
      </w:r>
      <w:proofErr w:type="spellStart"/>
      <w:r w:rsidR="00482E2F" w:rsidRPr="00482E2F">
        <w:rPr>
          <w:rFonts w:asciiTheme="minorHAnsi" w:hAnsiTheme="minorHAnsi" w:cstheme="minorHAnsi"/>
        </w:rPr>
        <w:t>da</w:t>
      </w:r>
      <w:proofErr w:type="spellEnd"/>
      <w:r w:rsidR="00482E2F" w:rsidRPr="00482E2F">
        <w:rPr>
          <w:rFonts w:asciiTheme="minorHAnsi" w:hAnsiTheme="minorHAnsi" w:cstheme="minorHAnsi"/>
        </w:rPr>
        <w:t xml:space="preserve"> </w:t>
      </w:r>
      <w:r w:rsidR="00482E2F">
        <w:rPr>
          <w:rFonts w:asciiTheme="minorHAnsi" w:hAnsiTheme="minorHAnsi" w:cstheme="minorHAnsi"/>
        </w:rPr>
        <w:t xml:space="preserve">S. </w:t>
      </w:r>
      <w:r w:rsidR="00482E2F" w:rsidRPr="00482E2F">
        <w:rPr>
          <w:rFonts w:asciiTheme="minorHAnsi" w:hAnsiTheme="minorHAnsi" w:cstheme="minorHAnsi"/>
        </w:rPr>
        <w:t xml:space="preserve">por </w:t>
      </w:r>
      <w:r w:rsidR="00482E2F">
        <w:rPr>
          <w:rFonts w:asciiTheme="minorHAnsi" w:hAnsiTheme="minorHAnsi" w:cstheme="minorHAnsi"/>
        </w:rPr>
        <w:t xml:space="preserve">comprovação de </w:t>
      </w:r>
      <w:r w:rsidR="00482E2F" w:rsidRPr="00482E2F">
        <w:rPr>
          <w:rFonts w:asciiTheme="minorHAnsi" w:hAnsiTheme="minorHAnsi" w:cstheme="minorHAnsi"/>
        </w:rPr>
        <w:t>doença grave</w:t>
      </w:r>
      <w:r w:rsidR="00482E2F">
        <w:rPr>
          <w:rFonts w:asciiTheme="minorHAnsi" w:hAnsiTheme="minorHAnsi" w:cstheme="minorHAnsi"/>
        </w:rPr>
        <w:t xml:space="preserve"> </w:t>
      </w:r>
      <w:r w:rsidR="00482E2F" w:rsidRPr="00482E2F">
        <w:rPr>
          <w:rFonts w:asciiTheme="minorHAnsi" w:hAnsiTheme="minorHAnsi" w:cstheme="minorHAnsi"/>
        </w:rPr>
        <w:t>incurável, conforme previsto na Resolução nº 211 do CAU/BR</w:t>
      </w:r>
      <w:r w:rsidR="00482E2F">
        <w:rPr>
          <w:rFonts w:asciiTheme="minorHAnsi" w:hAnsiTheme="minorHAnsi" w:cstheme="minorHAnsi"/>
        </w:rPr>
        <w:t>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482E2F" w:rsidRPr="00C21F7D" w:rsidRDefault="00482E2F" w:rsidP="00482E2F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21F7D">
        <w:rPr>
          <w:rFonts w:asciiTheme="minorHAnsi" w:hAnsiTheme="minorHAnsi" w:cstheme="minorHAnsi"/>
        </w:rPr>
        <w:t xml:space="preserve">Dar provimento à </w:t>
      </w:r>
      <w:r w:rsidRPr="00482E2F">
        <w:rPr>
          <w:rFonts w:asciiTheme="minorHAnsi" w:hAnsiTheme="minorHAnsi" w:cstheme="minorHAnsi"/>
        </w:rPr>
        <w:t xml:space="preserve">solicitação de isenção da anuidade 2022 e anuidades subsequentes, por período indeterminado, do Arquiteto e Urbanista L. F. </w:t>
      </w:r>
      <w:proofErr w:type="spellStart"/>
      <w:r w:rsidRPr="00482E2F">
        <w:rPr>
          <w:rFonts w:asciiTheme="minorHAnsi" w:hAnsiTheme="minorHAnsi" w:cstheme="minorHAnsi"/>
        </w:rPr>
        <w:t>da</w:t>
      </w:r>
      <w:proofErr w:type="spellEnd"/>
      <w:r w:rsidRPr="00482E2F">
        <w:rPr>
          <w:rFonts w:asciiTheme="minorHAnsi" w:hAnsiTheme="minorHAnsi" w:cstheme="minorHAnsi"/>
        </w:rPr>
        <w:t xml:space="preserve"> S. por comprovação de doença grave incurável, conforme previsto na Resolução nº 211 do CAU/BR</w:t>
      </w:r>
      <w:r w:rsidRPr="00C21F7D">
        <w:rPr>
          <w:rFonts w:asciiTheme="minorHAnsi" w:hAnsiTheme="minorHAnsi" w:cstheme="minorHAnsi"/>
        </w:rPr>
        <w:t>;</w:t>
      </w:r>
    </w:p>
    <w:p w:rsidR="008361DB" w:rsidRPr="008361DB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482E2F" w:rsidRDefault="008361DB" w:rsidP="00DC2C5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2E2F">
        <w:rPr>
          <w:rFonts w:asciiTheme="minorHAnsi" w:hAnsiTheme="minorHAnsi" w:cstheme="minorHAnsi"/>
        </w:rPr>
        <w:t xml:space="preserve">Determinar que a Gerência Administrativa Financeira </w:t>
      </w:r>
      <w:r w:rsidR="00482E2F" w:rsidRPr="00482E2F">
        <w:rPr>
          <w:rFonts w:asciiTheme="minorHAnsi" w:hAnsiTheme="minorHAnsi" w:cstheme="minorHAnsi"/>
        </w:rPr>
        <w:t>informe ao profissional, que a isenção será válida a partir de 2022 por período indeterminado e que, no entanto, a não impede a cobrança de débitos de exercícios anteriores ao diagnóstico;</w:t>
      </w:r>
      <w:r w:rsidRPr="00482E2F">
        <w:rPr>
          <w:rFonts w:asciiTheme="minorHAnsi" w:hAnsiTheme="minorHAnsi" w:cstheme="minorHAnsi"/>
        </w:rPr>
        <w:t xml:space="preserve"> </w:t>
      </w:r>
    </w:p>
    <w:p w:rsidR="008361DB" w:rsidRPr="008361DB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Determinar que a Gerência Administrativa Financeira encaminhe, posteriormente, o protocolo à Gerência de Atendimento para que a mesma proceda com a respectiva interrupção/baixa de ofício, a fim de adequar o registro de acordo com os termos dessa deliberação.</w:t>
      </w:r>
    </w:p>
    <w:p w:rsidR="008361DB" w:rsidRPr="004F7C58" w:rsidRDefault="008361DB" w:rsidP="008361DB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9A1679" w:rsidRPr="006203A7" w:rsidRDefault="009A1679" w:rsidP="009A1679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bookmarkStart w:id="0" w:name="_GoBack"/>
      <w:r>
        <w:rPr>
          <w:rFonts w:asciiTheme="minorHAnsi" w:hAnsiTheme="minorHAnsi" w:cstheme="minorHAnsi"/>
          <w:color w:val="000000"/>
        </w:rPr>
        <w:t>Com 13 (treze</w:t>
      </w:r>
      <w:r w:rsidRPr="00916443">
        <w:rPr>
          <w:rFonts w:asciiTheme="minorHAnsi" w:hAnsiTheme="minorHAnsi" w:cstheme="minorHAnsi"/>
          <w:color w:val="000000"/>
        </w:rPr>
        <w:t xml:space="preserve">) votos favoráveis, das conselheiras Denise dos Santos Simões, Gislaine Vargas Saibro, Ingrid Louise de Souza Dahm, Lidia Glacir Gomes Rodrigues, Marcia Elizabeth Martins, Orildes Tres e Silvia Monteiro </w:t>
      </w:r>
      <w:proofErr w:type="spellStart"/>
      <w:r w:rsidRPr="00916443">
        <w:rPr>
          <w:rFonts w:asciiTheme="minorHAnsi" w:hAnsiTheme="minorHAnsi" w:cstheme="minorHAnsi"/>
          <w:color w:val="000000"/>
        </w:rPr>
        <w:t>Barakat</w:t>
      </w:r>
      <w:proofErr w:type="spellEnd"/>
      <w:r w:rsidRPr="00916443">
        <w:rPr>
          <w:rFonts w:asciiTheme="minorHAnsi" w:hAnsiTheme="minorHAnsi" w:cstheme="minorHAnsi"/>
          <w:color w:val="000000"/>
        </w:rPr>
        <w:t xml:space="preserve"> e dos conselheiros Alexandre Giorgi</w:t>
      </w:r>
      <w:r>
        <w:rPr>
          <w:rFonts w:asciiTheme="minorHAnsi" w:hAnsiTheme="minorHAnsi" w:cstheme="minorHAnsi"/>
          <w:color w:val="000000"/>
        </w:rPr>
        <w:t>, Carlos Eduardo Iponema Costa</w:t>
      </w:r>
      <w:r w:rsidRPr="00916443">
        <w:rPr>
          <w:rFonts w:asciiTheme="minorHAnsi" w:hAnsiTheme="minorHAnsi" w:cstheme="minorHAnsi"/>
          <w:color w:val="000000"/>
        </w:rPr>
        <w:t>, Fausto Henrique Steffen, Pedro Xavier De Araujo, Rafael Ártico e Rinaldo Ferreira Barbosa; e 0</w:t>
      </w:r>
      <w:r>
        <w:rPr>
          <w:rFonts w:asciiTheme="minorHAnsi" w:hAnsiTheme="minorHAnsi" w:cstheme="minorHAnsi"/>
          <w:color w:val="000000"/>
        </w:rPr>
        <w:t>9 (nove</w:t>
      </w:r>
      <w:r w:rsidRPr="00916443">
        <w:rPr>
          <w:rFonts w:asciiTheme="minorHAnsi" w:hAnsiTheme="minorHAnsi" w:cstheme="minorHAnsi"/>
          <w:color w:val="000000"/>
        </w:rPr>
        <w:t xml:space="preserve">) ausências, das conselheiras </w:t>
      </w:r>
      <w:r w:rsidRPr="00916443"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 w:rsidRPr="00916443">
        <w:rPr>
          <w:rFonts w:asciiTheme="minorHAnsi" w:hAnsiTheme="minorHAnsi" w:cstheme="minorHAnsi"/>
        </w:rPr>
        <w:t>Ardovino</w:t>
      </w:r>
      <w:proofErr w:type="spellEnd"/>
      <w:r w:rsidRPr="00916443"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 w:rsidRPr="00916443">
        <w:rPr>
          <w:rFonts w:asciiTheme="minorHAnsi" w:hAnsiTheme="minorHAnsi" w:cstheme="minorHAnsi"/>
        </w:rPr>
        <w:t>Giofranco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Angilis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Saggin</w:t>
      </w:r>
      <w:proofErr w:type="spellEnd"/>
      <w:r w:rsidRPr="00916443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>,</w:t>
      </w:r>
      <w:r w:rsidRPr="00E5285E">
        <w:rPr>
          <w:rFonts w:asciiTheme="minorHAnsi" w:hAnsiTheme="minorHAnsi" w:cstheme="minorHAnsi"/>
          <w:color w:val="000000"/>
        </w:rPr>
        <w:t xml:space="preserve"> </w:t>
      </w:r>
      <w:r w:rsidRPr="00916443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>bio Müller</w:t>
      </w:r>
      <w:r>
        <w:rPr>
          <w:rFonts w:asciiTheme="minorHAnsi" w:hAnsiTheme="minorHAnsi" w:cstheme="minorHAnsi"/>
          <w:color w:val="000000"/>
        </w:rPr>
        <w:t>,</w:t>
      </w:r>
      <w:r w:rsidRPr="00916443">
        <w:rPr>
          <w:rFonts w:asciiTheme="minorHAnsi" w:hAnsiTheme="minorHAnsi" w:cstheme="minorHAnsi"/>
        </w:rPr>
        <w:t xml:space="preserve"> e Rodrigo Spinelli.</w:t>
      </w:r>
    </w:p>
    <w:bookmarkEnd w:id="0"/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13C7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13C7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13C71">
              <w:rPr>
                <w:rFonts w:asciiTheme="minorHAnsi" w:hAnsiTheme="minorHAnsi" w:cstheme="minorHAnsi"/>
                <w:sz w:val="22"/>
                <w:szCs w:val="22"/>
              </w:rPr>
              <w:t>1488850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2E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F87B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482E2F" w:rsidRPr="00916443" w:rsidRDefault="001F767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482E2F" w:rsidRPr="00916443" w:rsidRDefault="009A1679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F87B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2E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2E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2E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F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482E2F" w:rsidRPr="009116E7" w:rsidTr="002E1BE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482E2F" w:rsidRPr="009116E7" w:rsidTr="002E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2E2F" w:rsidRPr="00916443" w:rsidRDefault="00482E2F" w:rsidP="00482E2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482E2F" w:rsidRPr="00916443" w:rsidRDefault="00482E2F" w:rsidP="00482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713C7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7612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</w:t>
            </w:r>
            <w:r w:rsidR="008037A5" w:rsidRPr="009A1679">
              <w:rPr>
                <w:rFonts w:asciiTheme="minorHAnsi" w:hAnsiTheme="minorHAnsi" w:cstheme="minorHAnsi"/>
                <w:sz w:val="20"/>
                <w:szCs w:val="20"/>
              </w:rPr>
              <w:t xml:space="preserve">SICCAU nº </w:t>
            </w:r>
            <w:r w:rsidR="00713C71" w:rsidRPr="009A1679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1488850</w:t>
            </w:r>
            <w:r w:rsidR="000F73C4" w:rsidRPr="009A1679">
              <w:rPr>
                <w:rFonts w:asciiTheme="minorHAnsi" w:hAnsiTheme="minorHAnsi" w:cstheme="minorHAnsi"/>
                <w:sz w:val="20"/>
                <w:szCs w:val="20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82E2F" w:rsidRPr="009116E7" w:rsidTr="00A4738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E2F" w:rsidRPr="00D10E2B" w:rsidRDefault="00482E2F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9A167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9A167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proofErr w:type="gramStart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482E2F" w:rsidRPr="00D10E2B" w:rsidRDefault="00482E2F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1B" w:rsidRDefault="0009221B">
      <w:r>
        <w:separator/>
      </w:r>
    </w:p>
  </w:endnote>
  <w:endnote w:type="continuationSeparator" w:id="0">
    <w:p w:rsidR="0009221B" w:rsidRDefault="000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A167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A167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A167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A1679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A167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1B" w:rsidRDefault="0009221B">
      <w:r>
        <w:separator/>
      </w:r>
    </w:p>
  </w:footnote>
  <w:footnote w:type="continuationSeparator" w:id="0">
    <w:p w:rsidR="0009221B" w:rsidRDefault="0009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9221B"/>
    <w:rsid w:val="000B621A"/>
    <w:rsid w:val="000C4724"/>
    <w:rsid w:val="000F73C4"/>
    <w:rsid w:val="0013101F"/>
    <w:rsid w:val="001A2002"/>
    <w:rsid w:val="001F767F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46E2E"/>
    <w:rsid w:val="003523FC"/>
    <w:rsid w:val="003A6EE1"/>
    <w:rsid w:val="003D3CC3"/>
    <w:rsid w:val="004129B1"/>
    <w:rsid w:val="004136E1"/>
    <w:rsid w:val="00421D3E"/>
    <w:rsid w:val="00423C60"/>
    <w:rsid w:val="004250EB"/>
    <w:rsid w:val="00482E2F"/>
    <w:rsid w:val="004856E9"/>
    <w:rsid w:val="004921EE"/>
    <w:rsid w:val="0049290F"/>
    <w:rsid w:val="004A7853"/>
    <w:rsid w:val="004B0F35"/>
    <w:rsid w:val="004E5073"/>
    <w:rsid w:val="004F4077"/>
    <w:rsid w:val="00507DD9"/>
    <w:rsid w:val="00525D04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A0759"/>
    <w:rsid w:val="006F5074"/>
    <w:rsid w:val="006F72F5"/>
    <w:rsid w:val="00713C71"/>
    <w:rsid w:val="00734F8B"/>
    <w:rsid w:val="00735525"/>
    <w:rsid w:val="00741A3F"/>
    <w:rsid w:val="0074549A"/>
    <w:rsid w:val="00761206"/>
    <w:rsid w:val="00766FE1"/>
    <w:rsid w:val="007A1836"/>
    <w:rsid w:val="007E2A87"/>
    <w:rsid w:val="007F343E"/>
    <w:rsid w:val="008037A5"/>
    <w:rsid w:val="0082041E"/>
    <w:rsid w:val="008361DB"/>
    <w:rsid w:val="00844FAA"/>
    <w:rsid w:val="00863CC9"/>
    <w:rsid w:val="00871AD5"/>
    <w:rsid w:val="00891BF2"/>
    <w:rsid w:val="008B0FC5"/>
    <w:rsid w:val="008D4EAD"/>
    <w:rsid w:val="009116E7"/>
    <w:rsid w:val="00940750"/>
    <w:rsid w:val="009575ED"/>
    <w:rsid w:val="009814F0"/>
    <w:rsid w:val="009A1679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BE710F"/>
    <w:rsid w:val="00CB22EC"/>
    <w:rsid w:val="00CC4BED"/>
    <w:rsid w:val="00CD4B3C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D4242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4BC8-DD6F-476C-BC7B-CC37A37B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1963</Words>
  <Characters>10602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28</cp:revision>
  <cp:lastPrinted>2021-11-22T12:22:00Z</cp:lastPrinted>
  <dcterms:created xsi:type="dcterms:W3CDTF">2022-04-29T00:47:00Z</dcterms:created>
  <dcterms:modified xsi:type="dcterms:W3CDTF">2022-06-28T14:11:00Z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