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6F2795" w:rsidRPr="004F7C58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6F2795" w:rsidRPr="004F7C58" w:rsidRDefault="006F2795" w:rsidP="006F2795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F7C5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6F2795" w:rsidRPr="004F7C58" w:rsidRDefault="006F2795" w:rsidP="004F7C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7C58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="004F7C58" w:rsidRPr="004F7C58">
              <w:rPr>
                <w:rFonts w:asciiTheme="minorHAnsi" w:hAnsiTheme="minorHAnsi" w:cstheme="minorHAnsi"/>
                <w:sz w:val="22"/>
                <w:szCs w:val="22"/>
              </w:rPr>
              <w:t>1441171</w:t>
            </w:r>
            <w:r w:rsidR="001F5291" w:rsidRPr="004F7C58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6F2795" w:rsidRPr="004F7C58" w:rsidTr="00B34227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6F2795" w:rsidRPr="004F7C58" w:rsidRDefault="006F2795" w:rsidP="006F2795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F7C5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6F2795" w:rsidRPr="004F7C58" w:rsidRDefault="004F7C58" w:rsidP="004F7C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7C58">
              <w:rPr>
                <w:rFonts w:ascii="Calibri" w:hAnsi="Calibri" w:cs="Calibri"/>
                <w:sz w:val="22"/>
                <w:szCs w:val="22"/>
              </w:rPr>
              <w:t>Arquiteta e Urbanista Andréa Maciel Pereira</w:t>
            </w:r>
          </w:p>
        </w:tc>
      </w:tr>
      <w:tr w:rsidR="006F2795" w:rsidRPr="004F7C58" w:rsidTr="00B34227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6F2795" w:rsidRPr="004F7C58" w:rsidRDefault="006F2795" w:rsidP="006F2795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F7C5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6F2795" w:rsidRPr="004F7C58" w:rsidRDefault="004F7C58" w:rsidP="004F7C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7C58">
              <w:rPr>
                <w:rFonts w:asciiTheme="minorHAnsi" w:hAnsiTheme="minorHAnsi" w:cstheme="minorHAnsi"/>
                <w:sz w:val="22"/>
                <w:szCs w:val="22"/>
              </w:rPr>
              <w:t>Solicitação de Isenção por Doença Grave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1F5291">
        <w:rPr>
          <w:rFonts w:asciiTheme="minorHAnsi" w:hAnsiTheme="minorHAnsi" w:cstheme="minorHAnsi"/>
          <w:sz w:val="22"/>
          <w:szCs w:val="22"/>
          <w:lang w:eastAsia="pt-BR"/>
        </w:rPr>
        <w:t xml:space="preserve">DELIBERAÇÃO PLENÁRIA DPO/RS Nº </w:t>
      </w:r>
      <w:r w:rsidR="001F5291" w:rsidRPr="001F5291">
        <w:rPr>
          <w:rFonts w:asciiTheme="minorHAnsi" w:hAnsiTheme="minorHAnsi" w:cstheme="minorHAnsi"/>
          <w:sz w:val="22"/>
          <w:szCs w:val="22"/>
          <w:lang w:eastAsia="pt-BR"/>
        </w:rPr>
        <w:t>145</w:t>
      </w:r>
      <w:r w:rsidR="006E4FD0">
        <w:rPr>
          <w:rFonts w:asciiTheme="minorHAnsi" w:hAnsiTheme="minorHAnsi" w:cstheme="minorHAnsi"/>
          <w:sz w:val="22"/>
          <w:szCs w:val="22"/>
          <w:lang w:eastAsia="pt-BR"/>
        </w:rPr>
        <w:t>0</w:t>
      </w:r>
      <w:r w:rsidRPr="001F5291">
        <w:rPr>
          <w:rFonts w:asciiTheme="minorHAnsi" w:hAnsiTheme="minorHAnsi" w:cstheme="minorHAnsi"/>
          <w:sz w:val="22"/>
          <w:szCs w:val="22"/>
          <w:lang w:eastAsia="pt-BR"/>
        </w:rPr>
        <w:t>/202</w:t>
      </w:r>
      <w:r w:rsidR="00844FAA" w:rsidRPr="001F5291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4A7AF1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0"/>
          <w:szCs w:val="22"/>
        </w:rPr>
      </w:pPr>
    </w:p>
    <w:p w:rsidR="00507DD9" w:rsidRPr="004A7AF1" w:rsidRDefault="006F2795" w:rsidP="00D824F4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2"/>
        </w:rPr>
      </w:pPr>
      <w:r w:rsidRPr="006E30DD">
        <w:rPr>
          <w:rFonts w:asciiTheme="minorHAnsi" w:hAnsiTheme="minorHAnsi" w:cstheme="minorHAnsi"/>
          <w:sz w:val="20"/>
          <w:szCs w:val="22"/>
        </w:rPr>
        <w:t xml:space="preserve">Homologa </w:t>
      </w:r>
      <w:r w:rsidR="004F7C58">
        <w:rPr>
          <w:rFonts w:asciiTheme="minorHAnsi" w:hAnsiTheme="minorHAnsi" w:cstheme="minorHAnsi"/>
          <w:sz w:val="20"/>
          <w:szCs w:val="20"/>
        </w:rPr>
        <w:t xml:space="preserve">isenção da anuidade correspondente ao período compreendido entre </w:t>
      </w:r>
      <w:r w:rsidR="004F7C58" w:rsidRPr="004F7C58">
        <w:rPr>
          <w:rFonts w:asciiTheme="minorHAnsi" w:hAnsiTheme="minorHAnsi" w:cstheme="minorHAnsi"/>
          <w:sz w:val="20"/>
          <w:szCs w:val="20"/>
        </w:rPr>
        <w:t>01/01/2021 a 31/07/2021,</w:t>
      </w:r>
      <w:r w:rsidR="004F7C58">
        <w:rPr>
          <w:rFonts w:asciiTheme="minorHAnsi" w:hAnsiTheme="minorHAnsi" w:cstheme="minorHAnsi"/>
          <w:sz w:val="20"/>
          <w:szCs w:val="20"/>
        </w:rPr>
        <w:t xml:space="preserve"> </w:t>
      </w:r>
      <w:r w:rsidR="004F7C58" w:rsidRPr="00B61426">
        <w:rPr>
          <w:rFonts w:asciiTheme="minorHAnsi" w:hAnsiTheme="minorHAnsi" w:cstheme="minorHAnsi"/>
          <w:sz w:val="20"/>
          <w:szCs w:val="20"/>
        </w:rPr>
        <w:t>por comprovação de doença grave</w:t>
      </w:r>
      <w:r w:rsidR="004F7C58">
        <w:rPr>
          <w:rFonts w:asciiTheme="minorHAnsi" w:hAnsiTheme="minorHAnsi" w:cstheme="minorHAnsi"/>
          <w:sz w:val="20"/>
          <w:szCs w:val="20"/>
        </w:rPr>
        <w:t>, dentre outras providências</w:t>
      </w:r>
      <w:r w:rsidR="00FF5407" w:rsidRPr="004A7AF1">
        <w:rPr>
          <w:rFonts w:asciiTheme="minorHAnsi" w:hAnsiTheme="minorHAnsi" w:cstheme="minorHAnsi"/>
          <w:sz w:val="20"/>
          <w:szCs w:val="22"/>
        </w:rPr>
        <w:t>.</w:t>
      </w:r>
    </w:p>
    <w:p w:rsidR="00507DD9" w:rsidRPr="004A7AF1" w:rsidRDefault="00507DD9" w:rsidP="004A7853">
      <w:pPr>
        <w:ind w:left="5245"/>
        <w:jc w:val="both"/>
        <w:rPr>
          <w:rFonts w:asciiTheme="minorHAnsi" w:hAnsiTheme="minorHAnsi" w:cstheme="minorHAnsi"/>
          <w:sz w:val="18"/>
          <w:szCs w:val="22"/>
        </w:rPr>
      </w:pPr>
    </w:p>
    <w:p w:rsidR="00ED7FDA" w:rsidRPr="004F7C58" w:rsidRDefault="00ED7FDA" w:rsidP="00ED7FDA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F7C58">
        <w:rPr>
          <w:rFonts w:asciiTheme="minorHAnsi" w:hAnsiTheme="minorHAnsi" w:cstheme="minorHAnsi"/>
          <w:sz w:val="22"/>
          <w:szCs w:val="22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4F7C58">
        <w:rPr>
          <w:rFonts w:asciiTheme="minorHAnsi" w:hAnsiTheme="minorHAnsi" w:cstheme="minorHAnsi"/>
          <w:sz w:val="22"/>
          <w:szCs w:val="22"/>
          <w:lang w:eastAsia="pt-BR"/>
        </w:rPr>
        <w:t>Fecomércio</w:t>
      </w:r>
      <w:proofErr w:type="spellEnd"/>
      <w:r w:rsidRPr="004F7C58">
        <w:rPr>
          <w:rFonts w:asciiTheme="minorHAnsi" w:hAnsiTheme="minorHAnsi" w:cstheme="minorHAnsi"/>
          <w:sz w:val="22"/>
          <w:szCs w:val="22"/>
          <w:lang w:eastAsia="pt-BR"/>
        </w:rPr>
        <w:t xml:space="preserve">, 101 – Bairro Anchieta, Porto Alegre – RS, no dia </w:t>
      </w:r>
      <w:r w:rsidR="001A2002" w:rsidRPr="004F7C58">
        <w:rPr>
          <w:rFonts w:asciiTheme="minorHAnsi" w:hAnsiTheme="minorHAnsi" w:cstheme="minorHAnsi"/>
          <w:sz w:val="22"/>
          <w:szCs w:val="22"/>
          <w:lang w:eastAsia="pt-BR"/>
        </w:rPr>
        <w:t>29</w:t>
      </w:r>
      <w:r w:rsidR="0020210B" w:rsidRPr="004F7C5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4F7C58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1A2002" w:rsidRPr="004F7C58">
        <w:rPr>
          <w:rFonts w:asciiTheme="minorHAnsi" w:hAnsiTheme="minorHAnsi" w:cstheme="minorHAnsi"/>
          <w:sz w:val="22"/>
          <w:szCs w:val="22"/>
          <w:lang w:eastAsia="pt-BR"/>
        </w:rPr>
        <w:t xml:space="preserve">abril </w:t>
      </w:r>
      <w:r w:rsidRPr="004F7C58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20210B" w:rsidRPr="004F7C58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4F7C58">
        <w:rPr>
          <w:rFonts w:asciiTheme="minorHAnsi" w:hAnsiTheme="minorHAnsi" w:cstheme="minorHAnsi"/>
          <w:sz w:val="22"/>
          <w:szCs w:val="22"/>
          <w:lang w:eastAsia="pt-BR"/>
        </w:rPr>
        <w:t>, após análise do assunto em epígrafe, e</w:t>
      </w:r>
    </w:p>
    <w:p w:rsidR="00507DD9" w:rsidRPr="004F7C58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 xml:space="preserve">Considerando que o inciso VI, do art. 34, da Lei nº 12.378/2010, estabelece que compete aos </w:t>
      </w:r>
      <w:proofErr w:type="spellStart"/>
      <w:r w:rsidRPr="004F7C58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4F7C58">
        <w:rPr>
          <w:rFonts w:asciiTheme="minorHAnsi" w:hAnsiTheme="minorHAnsi" w:cstheme="minorHAnsi"/>
          <w:sz w:val="22"/>
          <w:szCs w:val="22"/>
        </w:rPr>
        <w:t xml:space="preserve"> a cobrança das anuidades;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no § 6º, do art. 150, da Constituição Federal, o qual estabelece que “</w:t>
      </w:r>
      <w:r w:rsidRPr="004F7C58">
        <w:rPr>
          <w:rFonts w:asciiTheme="minorHAnsi" w:hAnsiTheme="minorHAnsi" w:cstheme="minorHAnsi"/>
          <w:i/>
          <w:sz w:val="22"/>
          <w:szCs w:val="22"/>
        </w:rPr>
        <w:t>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2.º, XII, g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que o inciso II, do art. 111, do Código Tributário Nacional, estipula que se interpreta literalmente a legislação tributária que disponha sobre, entre outros, “</w:t>
      </w:r>
      <w:r w:rsidRPr="004F7C58">
        <w:rPr>
          <w:rFonts w:asciiTheme="minorHAnsi" w:hAnsiTheme="minorHAnsi" w:cstheme="minorHAnsi"/>
          <w:i/>
          <w:sz w:val="22"/>
          <w:szCs w:val="22"/>
        </w:rPr>
        <w:t>outorga de isenção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que o inciso I, do art. 175, do Código Tributário Nacional, define a isenção como causa de exclusão do crédito tributário;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no art. 176, do Código Tributário Nacional, o qual estabelece que “</w:t>
      </w:r>
      <w:r w:rsidRPr="004F7C58">
        <w:rPr>
          <w:rFonts w:asciiTheme="minorHAnsi" w:hAnsiTheme="minorHAnsi" w:cstheme="minorHAnsi"/>
          <w:i/>
          <w:sz w:val="22"/>
          <w:szCs w:val="22"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no art. 179, do Código Tributário Nacional, o qual define que “</w:t>
      </w:r>
      <w:r w:rsidRPr="004F7C58">
        <w:rPr>
          <w:rFonts w:asciiTheme="minorHAnsi" w:hAnsiTheme="minorHAnsi" w:cstheme="minorHAnsi"/>
          <w:i/>
          <w:sz w:val="22"/>
          <w:szCs w:val="22"/>
        </w:rPr>
        <w:t>a isenção, quando não concedida em caráter 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que, embora a Lei nº 12.378/2010 não estabeleça a possibilidade de isenção de anuidade em razão de doença grave, o § 2º, do art. 6º, da Lei nº 12.514/2011, instituiu que “</w:t>
      </w:r>
      <w:r w:rsidRPr="004F7C58">
        <w:rPr>
          <w:rFonts w:asciiTheme="minorHAnsi" w:hAnsiTheme="minorHAnsi" w:cstheme="minorHAnsi"/>
          <w:i/>
          <w:sz w:val="22"/>
          <w:szCs w:val="22"/>
        </w:rPr>
        <w:t>o valor exato da anuidade, o desconto para profissionais recém-inscritos, os critérios de isenção para profissionais, as regras de recuperação de créditos, as regras de parcelamento, garantido o mínimo de 5 (cinco) vezes, e a concessão de descontos para pagamento antecipado ou à vista, serão estabelecidos pelos respectivos conselhos federais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no art. 2º, inciso VII, da Resolução nº 134 do CAU/BR, o qual estabelece que “</w:t>
      </w:r>
      <w:r w:rsidRPr="004F7C58">
        <w:rPr>
          <w:rFonts w:asciiTheme="minorHAnsi" w:hAnsiTheme="minorHAnsi" w:cstheme="minorHAnsi"/>
          <w:i/>
          <w:sz w:val="22"/>
          <w:szCs w:val="22"/>
        </w:rPr>
        <w:t xml:space="preserve">ficarão ainda isentos do pagamento da anuidade os arquitetos e urbanistas portadores de doença grave prevista em Instrução Normativa da Secretaria da Receita Federal do Brasil que estiver em vigor para o </w:t>
      </w:r>
      <w:r w:rsidRPr="004F7C58">
        <w:rPr>
          <w:rFonts w:asciiTheme="minorHAnsi" w:hAnsiTheme="minorHAnsi" w:cstheme="minorHAnsi"/>
          <w:i/>
          <w:sz w:val="22"/>
          <w:szCs w:val="22"/>
        </w:rPr>
        <w:lastRenderedPageBreak/>
        <w:t>Imposto de Renda, observados os seguintes requisitos: a) para efeito de reconhecimento de isenção, a doença deve ser comprovada mediante laudo pericial emitido por serviço de saúde oficial da União, dos Estados, do Distrito Federal ou de Município, devendo ser fixado o prazo de validade do laudo pericial, no caso de doenças passíveis de controle; b) a isenção será válida enquanto perdurar o estado de doença, devendo a comprovação, descrita na alínea “a”, ser feita anualmente pelo profissional inscrito até a efetiva cura; c) a isenção não impede a cobrança de débitos dos exercícios anteriores; d) para a isenção do valor integral da anuidade do exercício, a comprovação a que se refere a alínea “a” deverá ser feita até a data de vencimento para pagamento integral da anuidade; e) nos casos em que a comprovação se der após a data de vencimento da anuidade do exercício, o solicitante terá o direito de isenção referente aos duodécimos restantes do exercício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na Lei nº 7.713/1988, que estabelece: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“Art. 6º Ficam isentos do imposto de renda os seguintes rendimentos percebidos por pessoas físicas: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(...)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espondiloartrose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anquilosante,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nefropatia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grave, hepatopatia grave, estados avançados da doença de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Paget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(osteíte deformante), contaminação por radiação, síndrome da imunodeficiência adquirida, com base em conclusão da medicina especializada, mesmo que a doença tenha sido contraída depois da aposentadoria ou reforma; (Redação dada pela Lei nº 11.052, de 2004) (Vide Lei nº 13.105, de 2015) (Vigência)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(...)”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na Instrução Normativa nº 1.500/2014, da Receita Federal Brasileira, que institui: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“Art. 6º São isentos ou não se sujeitam ao imposto sobre a renda, os seguintes rendimentos originários pagos por previdências: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(...)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espondiloartrose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anquilosante,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nefropatia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grave, hepatopatia grave, estados avançados de doença de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Paget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(osteíte deformante), contaminação por radiação, síndrome de imunodeficiência adquirida (Aids), e fibrose cística (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mucoviscidose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>), comprovada mediante laudo pericial emitido por 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(...)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 -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aos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rendimentos recebidos a partir: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a) do mês da concessão da aposentadoria, reforma ou pensão, quando a moléstia for preexistente;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b) do mês da emissão do laudo pericial, se a moléstia for contraída depois da concessão da aposentadoria, reforma ou pensão; ou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c) da data, identificada no laudo pericial, em que a moléstia foi contraída, desde que correspondam a proventos de aposentadoria, reforma ou pensão;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lastRenderedPageBreak/>
        <w:t xml:space="preserve">II - aos rendimentos recebidos acumuladamente por pessoa física com moléstia grave, desde que correspondam a proventos de aposentadoria, reforma ou pensão, ainda que se refiram a período anterior à data em que foi contraída a moléstia grave; e (Redação dada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III - à complementação de aposentadoria, reforma ou pensão recebida por pessoa física com moléstia grave. (Redação dada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§ 5º O laudo pericial a que se refere o § 4º deve conter, no mínimo, as seguintes informações:</w:t>
      </w:r>
    </w:p>
    <w:p w:rsidR="004F7C58" w:rsidRPr="004F7C58" w:rsidRDefault="004F7C58" w:rsidP="004F7C58">
      <w:pPr>
        <w:tabs>
          <w:tab w:val="left" w:pos="1418"/>
          <w:tab w:val="left" w:pos="6035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 -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o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órgão emissor;</w:t>
      </w:r>
      <w:r w:rsidRPr="004F7C58">
        <w:rPr>
          <w:rFonts w:asciiTheme="minorHAnsi" w:hAnsiTheme="minorHAnsi" w:cstheme="minorHAnsi"/>
          <w:i/>
          <w:sz w:val="22"/>
          <w:szCs w:val="22"/>
        </w:rPr>
        <w:tab/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II -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a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qualificação do portador da moléstia;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II - a qualificação da pessoa física com moléstia grave; (Redação dada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III - o diagnóstico da moléstia (descrição; CID-10; elementos que o fundamentaram; a data em que a pessoa física é considerada com moléstia grave, nos casos de constatação da existência da doença em período anterior à emissão do laudo); (Redação dada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IV -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caso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a moléstia seja passível de controle, o prazo de validade do laudo pericial ao fim do qual o portador de moléstia grave provavelmente esteja assintomático; e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IV - caso a moléstia seja passível de controle, o prazo de validade do laudo pericial ao fim do qual a pessoa física com moléstia grave provavelmente esteja assintomática; e (Redação dada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V - o nome completo, a assinatura, o nº de inscrição no Conselho Regional de Medicina (CRM), o nº de registro no órgão público e a qualificação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do(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s) profissional(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is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>) do serviço médico oficial responsável(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is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>) pela emissão do laudo pericial.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(...)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§ 7º Para fins do disposto no inciso XI do caput, o rendimento decorrente de auxílio-doença, de natureza previdenciária, não se confunde com o decorrente de licença para tratamento de saúde, de natureza salarial, sobre o qual incide o IRPF. (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Incluído(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pelo(a) Instrução Normativa RFB nº 1756, de 31 de outubro de 2017)”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a Deliberação CPFI-CAU/RS nº 020/2022 que aprovou a procedência da solicitação de isenção das anuidades relativas por comprovação de doença grave, apresentada pela profissional acima nominada.</w:t>
      </w:r>
    </w:p>
    <w:p w:rsidR="004F7C58" w:rsidRPr="004F7C58" w:rsidRDefault="004F7C58" w:rsidP="004F7C58">
      <w:pPr>
        <w:ind w:right="275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4F7C58" w:rsidRPr="004F7C58" w:rsidRDefault="004F7C58" w:rsidP="004F7C58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F7C58">
        <w:rPr>
          <w:rFonts w:asciiTheme="minorHAnsi" w:hAnsiTheme="minorHAnsi" w:cstheme="minorHAnsi"/>
          <w:b/>
          <w:sz w:val="22"/>
          <w:szCs w:val="22"/>
          <w:lang w:eastAsia="pt-BR"/>
        </w:rPr>
        <w:t>DELIBEROU por:</w:t>
      </w:r>
    </w:p>
    <w:p w:rsidR="004F7C58" w:rsidRPr="004F7C58" w:rsidRDefault="004F7C58" w:rsidP="004F7C58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F7C58" w:rsidRPr="004F7C58" w:rsidRDefault="004F7C58" w:rsidP="004F7C58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Homologar a decisão exarada pela CPFi-CAU/RS, no sentido de dar provimento à solicitação de isenção da anuidade 2021, correspondente ao período compreendido entre 01/01/2021 a 31/07/2021, por comprovação de doença grave apresentada pela Arquiteta e Urbanista Andréa Maciel Pereira por doença grave, conforme devidamente comprovado;</w:t>
      </w:r>
    </w:p>
    <w:p w:rsidR="004F7C58" w:rsidRPr="004F7C58" w:rsidRDefault="004F7C58" w:rsidP="004F7C58">
      <w:pPr>
        <w:pStyle w:val="PargrafodaLista"/>
        <w:shd w:val="clear" w:color="auto" w:fill="FFFFFF"/>
        <w:spacing w:line="276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 xml:space="preserve">Determinar que a Gerência Administrativa Financeira informe à requerente que a isenção será válida enquanto perdurar o estado de doença, devendo a comprovação ser feita pelo profissional, anualmente, até a efetiva cura; </w:t>
      </w:r>
    </w:p>
    <w:p w:rsidR="004F7C58" w:rsidRPr="004F7C58" w:rsidRDefault="004F7C58" w:rsidP="004F7C58">
      <w:pPr>
        <w:pStyle w:val="PargrafodaLista"/>
        <w:shd w:val="clear" w:color="auto" w:fill="FFFFFF"/>
        <w:spacing w:line="276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Determinar que a Gerência Administrativa Financeira encaminhe, posteriormente, o protocolo à Gerência de Atendimento para que a mesma proceda com a respectiva interrupção/baixa de ofício, caso proceda, a fim de adequar o registro de acordo com os termos dessa deliberação.</w:t>
      </w:r>
    </w:p>
    <w:p w:rsidR="004F7C58" w:rsidRPr="004F7C58" w:rsidRDefault="004F7C58" w:rsidP="004F7C58">
      <w:pPr>
        <w:pStyle w:val="PargrafodaLista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Pr="004F7C58" w:rsidRDefault="004F4077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4F7C58">
        <w:rPr>
          <w:rFonts w:asciiTheme="minorHAnsi" w:hAnsiTheme="minorHAnsi" w:cstheme="minorHAnsi"/>
          <w:sz w:val="22"/>
          <w:szCs w:val="22"/>
          <w:u w:val="single"/>
          <w:lang w:eastAsia="pt-BR"/>
        </w:rPr>
        <w:lastRenderedPageBreak/>
        <w:t xml:space="preserve">Esta deliberação entra em vigor na data de sua publicação. </w:t>
      </w:r>
    </w:p>
    <w:p w:rsidR="009F48A5" w:rsidRPr="004F7C58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</w:p>
    <w:p w:rsidR="006E4FD0" w:rsidRPr="006203A7" w:rsidRDefault="006E4FD0" w:rsidP="006E4FD0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szCs w:val="22"/>
          <w:lang w:eastAsia="pt-BR"/>
        </w:rPr>
        <w:t>Com 14 (quatorze</w:t>
      </w:r>
      <w:r w:rsidRPr="00FD5006">
        <w:rPr>
          <w:rFonts w:asciiTheme="minorHAnsi" w:hAnsiTheme="minorHAnsi" w:cstheme="minorHAnsi"/>
          <w:szCs w:val="22"/>
          <w:lang w:eastAsia="pt-BR"/>
        </w:rPr>
        <w:t>) votos favoráveis, dos(as) conselheiros(as) Alexandre Couto Giorgi, Andréa Larruscahim Hamilton Ilha, Deise Flores Santos, Denise dos Santos Si</w:t>
      </w:r>
      <w:r>
        <w:rPr>
          <w:rFonts w:asciiTheme="minorHAnsi" w:hAnsiTheme="minorHAnsi" w:cstheme="minorHAnsi"/>
          <w:szCs w:val="22"/>
          <w:lang w:eastAsia="pt-BR"/>
        </w:rPr>
        <w:t xml:space="preserve">mões, </w:t>
      </w:r>
      <w:r w:rsidRPr="00FD5006">
        <w:rPr>
          <w:rFonts w:asciiTheme="minorHAnsi" w:hAnsiTheme="minorHAnsi" w:cstheme="minorHAnsi"/>
          <w:szCs w:val="22"/>
          <w:lang w:eastAsia="pt-BR"/>
        </w:rPr>
        <w:t xml:space="preserve">Fausto Henrique Steffen, Gislaine Vargas Saibro, Ingrid Louise de Souza Dahm, Lidia Glacir Gomes Rodrigues, Magali </w:t>
      </w:r>
      <w:proofErr w:type="spellStart"/>
      <w:r w:rsidRPr="00FD5006">
        <w:rPr>
          <w:rFonts w:asciiTheme="minorHAnsi" w:hAnsiTheme="minorHAnsi" w:cstheme="minorHAnsi"/>
          <w:szCs w:val="22"/>
          <w:lang w:eastAsia="pt-BR"/>
        </w:rPr>
        <w:t>Mingotti</w:t>
      </w:r>
      <w:proofErr w:type="spellEnd"/>
      <w:r w:rsidRPr="00FD5006">
        <w:rPr>
          <w:rFonts w:asciiTheme="minorHAnsi" w:hAnsiTheme="minorHAnsi" w:cstheme="minorHAnsi"/>
          <w:szCs w:val="22"/>
          <w:lang w:eastAsia="pt-BR"/>
        </w:rPr>
        <w:t>, Marcia Elizabeth Martins, Orildes Tres, Pedro Xavier de Araujo, Rafael Ártico, e Silvia Mon</w:t>
      </w:r>
      <w:r>
        <w:rPr>
          <w:rFonts w:asciiTheme="minorHAnsi" w:hAnsiTheme="minorHAnsi" w:cstheme="minorHAnsi"/>
          <w:szCs w:val="22"/>
          <w:lang w:eastAsia="pt-BR"/>
        </w:rPr>
        <w:t xml:space="preserve">teiro </w:t>
      </w:r>
      <w:proofErr w:type="spellStart"/>
      <w:r>
        <w:rPr>
          <w:rFonts w:asciiTheme="minorHAnsi" w:hAnsiTheme="minorHAnsi" w:cstheme="minorHAnsi"/>
          <w:szCs w:val="22"/>
          <w:lang w:eastAsia="pt-BR"/>
        </w:rPr>
        <w:t>Barakat</w:t>
      </w:r>
      <w:proofErr w:type="spellEnd"/>
      <w:r>
        <w:rPr>
          <w:rFonts w:asciiTheme="minorHAnsi" w:hAnsiTheme="minorHAnsi" w:cstheme="minorHAnsi"/>
          <w:szCs w:val="22"/>
          <w:lang w:eastAsia="pt-BR"/>
        </w:rPr>
        <w:t>; e 08 (oito</w:t>
      </w:r>
      <w:r w:rsidRPr="00FD5006">
        <w:rPr>
          <w:rFonts w:asciiTheme="minorHAnsi" w:hAnsiTheme="minorHAnsi" w:cstheme="minorHAnsi"/>
          <w:szCs w:val="22"/>
          <w:lang w:eastAsia="pt-BR"/>
        </w:rPr>
        <w:t>) ausências, d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Pr="00FD5006">
        <w:rPr>
          <w:rFonts w:asciiTheme="minorHAnsi" w:hAnsiTheme="minorHAnsi" w:cstheme="minorHAnsi"/>
          <w:szCs w:val="22"/>
          <w:lang w:eastAsia="pt-BR"/>
        </w:rPr>
        <w:t>s conselheir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Pr="00FD5006">
        <w:rPr>
          <w:rFonts w:asciiTheme="minorHAnsi" w:hAnsiTheme="minorHAnsi" w:cstheme="minorHAnsi"/>
          <w:szCs w:val="22"/>
          <w:lang w:eastAsia="pt-BR"/>
        </w:rPr>
        <w:t>s Aline P</w:t>
      </w:r>
      <w:r>
        <w:rPr>
          <w:rFonts w:asciiTheme="minorHAnsi" w:hAnsiTheme="minorHAnsi" w:cstheme="minorHAnsi"/>
          <w:szCs w:val="22"/>
          <w:lang w:eastAsia="pt-BR"/>
        </w:rPr>
        <w:t xml:space="preserve">edroso da Croce, </w:t>
      </w:r>
      <w:r w:rsidRPr="00FD5006">
        <w:rPr>
          <w:rFonts w:asciiTheme="minorHAnsi" w:hAnsiTheme="minorHAnsi" w:cstheme="minorHAnsi"/>
          <w:szCs w:val="22"/>
          <w:lang w:eastAsia="pt-BR"/>
        </w:rPr>
        <w:t>Carlos Eduardo Mesquita Pedone</w:t>
      </w:r>
      <w:r>
        <w:rPr>
          <w:rFonts w:asciiTheme="minorHAnsi" w:hAnsiTheme="minorHAnsi" w:cstheme="minorHAnsi"/>
          <w:szCs w:val="22"/>
          <w:lang w:eastAsia="pt-BR"/>
        </w:rPr>
        <w:t>, Carlos Eduardo Iponema Costa, Evelise Jaime de Menezes</w:t>
      </w:r>
      <w:r w:rsidRPr="00FD5006">
        <w:rPr>
          <w:rFonts w:asciiTheme="minorHAnsi" w:hAnsiTheme="minorHAnsi" w:cstheme="minorHAnsi"/>
          <w:szCs w:val="22"/>
          <w:lang w:eastAsia="pt-BR"/>
        </w:rPr>
        <w:t>, Fabio Muller</w:t>
      </w:r>
      <w:r>
        <w:rPr>
          <w:rFonts w:asciiTheme="minorHAnsi" w:hAnsiTheme="minorHAnsi" w:cstheme="minorHAnsi"/>
          <w:szCs w:val="22"/>
          <w:lang w:eastAsia="pt-BR"/>
        </w:rPr>
        <w:t xml:space="preserve">, Letícia Kauer, </w:t>
      </w:r>
      <w:r w:rsidRPr="00FD5006">
        <w:rPr>
          <w:rFonts w:asciiTheme="minorHAnsi" w:hAnsiTheme="minorHAnsi" w:cstheme="minorHAnsi"/>
          <w:szCs w:val="22"/>
          <w:lang w:eastAsia="pt-BR"/>
        </w:rPr>
        <w:t>Rinaldo Ferreira Barbosa</w:t>
      </w:r>
      <w:r>
        <w:rPr>
          <w:rFonts w:asciiTheme="minorHAnsi" w:hAnsiTheme="minorHAnsi" w:cstheme="minorHAnsi"/>
          <w:szCs w:val="22"/>
          <w:lang w:eastAsia="pt-BR"/>
        </w:rPr>
        <w:t xml:space="preserve"> e </w:t>
      </w:r>
      <w:r w:rsidRPr="00FD5006">
        <w:rPr>
          <w:rFonts w:asciiTheme="minorHAnsi" w:hAnsiTheme="minorHAnsi" w:cstheme="minorHAnsi"/>
          <w:szCs w:val="22"/>
          <w:lang w:eastAsia="pt-BR"/>
        </w:rPr>
        <w:t>Rodrigo Spinelli.</w:t>
      </w:r>
    </w:p>
    <w:p w:rsidR="00507DD9" w:rsidRPr="004F7C58" w:rsidRDefault="00507DD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07DD9" w:rsidRPr="004F7C58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871AD5" w:rsidRPr="004F7C58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Porto Alegre – RS, 29 de abril de 2022.</w:t>
      </w:r>
    </w:p>
    <w:p w:rsidR="00871AD5" w:rsidRPr="004F7C58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71AD5" w:rsidRPr="004F7C58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71AD5" w:rsidRPr="004F7C58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71AD5" w:rsidRPr="004F7C58" w:rsidRDefault="00871AD5" w:rsidP="00871A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ab/>
      </w:r>
      <w:r w:rsidRPr="004F7C58">
        <w:rPr>
          <w:rFonts w:asciiTheme="minorHAnsi" w:hAnsiTheme="minorHAnsi" w:cstheme="minorHAnsi"/>
          <w:b/>
          <w:sz w:val="22"/>
          <w:szCs w:val="22"/>
        </w:rPr>
        <w:t xml:space="preserve">TIAGO HOLZMANN DA SILVA </w:t>
      </w:r>
      <w:r w:rsidRPr="004F7C58">
        <w:rPr>
          <w:rFonts w:asciiTheme="minorHAnsi" w:hAnsiTheme="minorHAnsi" w:cstheme="minorHAnsi"/>
          <w:b/>
          <w:sz w:val="22"/>
          <w:szCs w:val="22"/>
        </w:rPr>
        <w:tab/>
      </w:r>
    </w:p>
    <w:p w:rsidR="00507DD9" w:rsidRPr="004F7C58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  <w:sectPr w:rsidR="00507DD9" w:rsidRPr="004F7C58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4F7C58">
        <w:rPr>
          <w:rFonts w:asciiTheme="minorHAnsi" w:hAnsiTheme="minorHAnsi" w:cstheme="minorHAnsi"/>
          <w:sz w:val="22"/>
          <w:szCs w:val="22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131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6E4FD0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1F529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5</w:t>
            </w:r>
            <w:r w:rsidR="006E4FD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0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</w:t>
            </w:r>
            <w:r w:rsidR="006F279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nº </w:t>
            </w:r>
            <w:r w:rsidR="004F7C5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1441171</w:t>
            </w:r>
            <w:r w:rsidR="001F52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6E4FD0" w:rsidRPr="009116E7" w:rsidTr="009756F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6E4FD0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6E4FD0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Andréa Larruscahim Hamilton Ilha 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6E4FD0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6E4FD0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Carlos Eduardo Mesquita Pedone 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6E4FD0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Deise Flores Santos 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6E4FD0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6E4FD0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6E4FD0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Fabio Muller 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6E4FD0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6E4FD0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6E4FD0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6E4FD0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6E4FD0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6E4FD0" w:rsidRPr="009116E7" w:rsidTr="009756F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6E4FD0" w:rsidRPr="009116E7" w:rsidTr="00975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6E4FD0" w:rsidRPr="009116E7" w:rsidTr="009756F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6E4FD0" w:rsidRPr="009116E7" w:rsidTr="00975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6E4FD0" w:rsidRPr="009116E7" w:rsidTr="009756F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6E4FD0" w:rsidRPr="009116E7" w:rsidTr="00975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6E4FD0" w:rsidRPr="009116E7" w:rsidTr="009756F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6E4FD0" w:rsidRPr="009116E7" w:rsidTr="00975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6E4FD0" w:rsidRPr="00416649" w:rsidRDefault="006E4FD0" w:rsidP="006E4FD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</w:tcPr>
          <w:p w:rsidR="006E4FD0" w:rsidRPr="00E106FD" w:rsidRDefault="006E4FD0" w:rsidP="006E4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9116E7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131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71AD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871AD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04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4F7C5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5</w:t>
            </w:r>
            <w:r w:rsidR="006E4FD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4F7C58" w:rsidRPr="004F7C58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Isenção </w:t>
            </w:r>
            <w:r w:rsidR="004F7C58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do pagamento de anuidade por comprovação de</w:t>
            </w:r>
            <w:r w:rsidR="004F7C58" w:rsidRPr="004F7C58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Doença Grave</w:t>
            </w:r>
            <w:r w:rsidR="009F48A5" w:rsidRPr="001F529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E4FD0" w:rsidRPr="006E4FD0" w:rsidRDefault="006E4FD0" w:rsidP="006E4FD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bookmarkStart w:id="0" w:name="_GoBack"/>
            <w:bookmarkEnd w:id="0"/>
            <w:r w:rsidRPr="006E4FD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6E4FD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(14) Ausências (08) total (22) </w:t>
            </w:r>
          </w:p>
          <w:p w:rsidR="004F4077" w:rsidRPr="00871AD5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6E4FD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D6" w:rsidRDefault="00292FD6">
      <w:r>
        <w:separator/>
      </w:r>
    </w:p>
  </w:endnote>
  <w:endnote w:type="continuationSeparator" w:id="0">
    <w:p w:rsidR="00292FD6" w:rsidRDefault="002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E4FD0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E4FD0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F48A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6E4FD0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E4FD0">
          <w:rPr>
            <w:rFonts w:ascii="DaxCondensed" w:hAnsi="DaxCondensed" w:cs="Arial"/>
            <w:noProof/>
            <w:sz w:val="20"/>
            <w:szCs w:val="20"/>
          </w:rPr>
          <w:t>5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6E4FD0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D6" w:rsidRDefault="00292FD6">
      <w:r>
        <w:separator/>
      </w:r>
    </w:p>
  </w:footnote>
  <w:footnote w:type="continuationSeparator" w:id="0">
    <w:p w:rsidR="00292FD6" w:rsidRDefault="0029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  <w:num w:numId="13">
    <w:abstractNumId w:val="10"/>
  </w:num>
  <w:num w:numId="14">
    <w:abstractNumId w:val="13"/>
  </w:num>
  <w:num w:numId="15">
    <w:abstractNumId w:val="7"/>
  </w:num>
  <w:num w:numId="16">
    <w:abstractNumId w:val="1"/>
    <w:lvlOverride w:ilvl="0">
      <w:lvl w:ilvl="0" w:tplc="7A767BD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A2C256">
        <w:start w:val="1"/>
        <w:numFmt w:val="lowerLetter"/>
        <w:lvlText w:val="%2."/>
        <w:lvlJc w:val="left"/>
        <w:pPr>
          <w:ind w:left="1418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9C87A8">
        <w:start w:val="1"/>
        <w:numFmt w:val="lowerRoman"/>
        <w:lvlText w:val="%3."/>
        <w:lvlJc w:val="left"/>
        <w:pPr>
          <w:ind w:left="2127" w:hanging="64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"/>
    <w:lvlOverride w:ilvl="0">
      <w:lvl w:ilvl="0" w:tplc="7A767BD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B621A"/>
    <w:rsid w:val="0013101F"/>
    <w:rsid w:val="001503E4"/>
    <w:rsid w:val="001A2002"/>
    <w:rsid w:val="001F5291"/>
    <w:rsid w:val="0020210B"/>
    <w:rsid w:val="00225E96"/>
    <w:rsid w:val="002317CB"/>
    <w:rsid w:val="00286789"/>
    <w:rsid w:val="00292FD6"/>
    <w:rsid w:val="00305CBC"/>
    <w:rsid w:val="003262D1"/>
    <w:rsid w:val="00332947"/>
    <w:rsid w:val="003523FC"/>
    <w:rsid w:val="003A6EE1"/>
    <w:rsid w:val="003D3CC3"/>
    <w:rsid w:val="004129B1"/>
    <w:rsid w:val="004136E1"/>
    <w:rsid w:val="00416E71"/>
    <w:rsid w:val="00421D3E"/>
    <w:rsid w:val="004250EB"/>
    <w:rsid w:val="004921EE"/>
    <w:rsid w:val="004A7853"/>
    <w:rsid w:val="004A7AF1"/>
    <w:rsid w:val="004B0F35"/>
    <w:rsid w:val="004F4077"/>
    <w:rsid w:val="004F5946"/>
    <w:rsid w:val="004F7C58"/>
    <w:rsid w:val="00507DD9"/>
    <w:rsid w:val="00594DD0"/>
    <w:rsid w:val="005C18E0"/>
    <w:rsid w:val="005C3926"/>
    <w:rsid w:val="0061151A"/>
    <w:rsid w:val="006264DF"/>
    <w:rsid w:val="00665E9D"/>
    <w:rsid w:val="0066618A"/>
    <w:rsid w:val="006E4FD0"/>
    <w:rsid w:val="006F2795"/>
    <w:rsid w:val="00705862"/>
    <w:rsid w:val="00735525"/>
    <w:rsid w:val="00741A3F"/>
    <w:rsid w:val="0074549A"/>
    <w:rsid w:val="00766FE1"/>
    <w:rsid w:val="007A1836"/>
    <w:rsid w:val="007F4B54"/>
    <w:rsid w:val="008037A5"/>
    <w:rsid w:val="00844FAA"/>
    <w:rsid w:val="00863CC9"/>
    <w:rsid w:val="00871AD5"/>
    <w:rsid w:val="008B0FC5"/>
    <w:rsid w:val="008D4EAD"/>
    <w:rsid w:val="009116E7"/>
    <w:rsid w:val="00965757"/>
    <w:rsid w:val="009F48A5"/>
    <w:rsid w:val="009F7A5C"/>
    <w:rsid w:val="00A5451E"/>
    <w:rsid w:val="00AB2898"/>
    <w:rsid w:val="00AB3628"/>
    <w:rsid w:val="00AC106A"/>
    <w:rsid w:val="00AE0F38"/>
    <w:rsid w:val="00B11D61"/>
    <w:rsid w:val="00B473AC"/>
    <w:rsid w:val="00B80B09"/>
    <w:rsid w:val="00BC12AE"/>
    <w:rsid w:val="00CC4BED"/>
    <w:rsid w:val="00CD4B3C"/>
    <w:rsid w:val="00D824F4"/>
    <w:rsid w:val="00E5615B"/>
    <w:rsid w:val="00E65E3D"/>
    <w:rsid w:val="00E66813"/>
    <w:rsid w:val="00EC4204"/>
    <w:rsid w:val="00ED7FDA"/>
    <w:rsid w:val="00EE0389"/>
    <w:rsid w:val="00EE061E"/>
    <w:rsid w:val="00F20D12"/>
    <w:rsid w:val="00F44056"/>
    <w:rsid w:val="00F95ADD"/>
    <w:rsid w:val="00FB5D9F"/>
    <w:rsid w:val="00FC05FF"/>
    <w:rsid w:val="00FC2C1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CADF9-6CB3-453F-A940-1B7BB7DD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1937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5</cp:revision>
  <cp:lastPrinted>2021-11-22T12:22:00Z</cp:lastPrinted>
  <dcterms:created xsi:type="dcterms:W3CDTF">2022-04-29T02:24:00Z</dcterms:created>
  <dcterms:modified xsi:type="dcterms:W3CDTF">2022-05-02T19:07:00Z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