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9657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</w:t>
            </w:r>
            <w:r w:rsidR="00416E71">
              <w:rPr>
                <w:rFonts w:asciiTheme="minorHAnsi" w:hAnsiTheme="minorHAnsi" w:cstheme="minorHAnsi"/>
              </w:rPr>
              <w:t xml:space="preserve">nº </w:t>
            </w:r>
            <w:r w:rsidR="00D824F4" w:rsidRPr="00D824F4">
              <w:rPr>
                <w:rFonts w:asciiTheme="minorHAnsi" w:hAnsiTheme="minorHAnsi" w:cstheme="minorHAnsi"/>
              </w:rPr>
              <w:t>1483075</w:t>
            </w:r>
            <w:r w:rsidR="00416E71" w:rsidRPr="004F5946">
              <w:rPr>
                <w:rFonts w:asciiTheme="minorHAnsi" w:hAnsiTheme="minorHAnsi" w:cstheme="minorHAnsi"/>
                <w:bCs/>
                <w:lang w:eastAsia="pt-BR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965757" w:rsidP="00D824F4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Comissão </w:t>
            </w:r>
            <w:r w:rsidR="00D824F4">
              <w:rPr>
                <w:rFonts w:asciiTheme="minorHAnsi" w:hAnsiTheme="minorHAnsi" w:cstheme="minorHAnsi"/>
                <w:bCs/>
                <w:lang w:eastAsia="pt-BR"/>
              </w:rPr>
              <w:t>de Ensino e Formação do CAU/BR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D824F4" w:rsidP="004A7AF1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R</w:t>
            </w:r>
            <w:r w:rsidRPr="00D824F4">
              <w:rPr>
                <w:rFonts w:asciiTheme="minorHAnsi" w:hAnsiTheme="minorHAnsi" w:cstheme="minorHAnsi"/>
                <w:bCs/>
                <w:lang w:eastAsia="pt-BR"/>
              </w:rPr>
              <w:t>etomada da discussão sobre as novas Diretrizes Curriculares Nacionais de Arquitetura e Urbanismo (DCN)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824F4">
        <w:rPr>
          <w:rFonts w:asciiTheme="minorHAnsi" w:hAnsiTheme="minorHAnsi" w:cstheme="minorHAnsi"/>
          <w:lang w:eastAsia="pt-BR"/>
        </w:rPr>
        <w:t>144</w:t>
      </w:r>
      <w:r w:rsidR="0077451E">
        <w:rPr>
          <w:rFonts w:asciiTheme="minorHAnsi" w:hAnsiTheme="minorHAnsi" w:cstheme="minorHAnsi"/>
          <w:lang w:eastAsia="pt-BR"/>
        </w:rPr>
        <w:t>7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A7AF1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A7AF1" w:rsidRDefault="00FF5407" w:rsidP="00D824F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4A7AF1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FA6CC8">
        <w:rPr>
          <w:rFonts w:asciiTheme="minorHAnsi" w:hAnsiTheme="minorHAnsi" w:cstheme="minorHAnsi"/>
          <w:sz w:val="20"/>
          <w:szCs w:val="22"/>
          <w:lang w:eastAsia="pt-BR"/>
        </w:rPr>
        <w:t>r</w:t>
      </w:r>
      <w:bookmarkStart w:id="0" w:name="_GoBack"/>
      <w:bookmarkEnd w:id="0"/>
      <w:r w:rsidR="00FA6CC8" w:rsidRPr="00FA6CC8">
        <w:rPr>
          <w:rFonts w:asciiTheme="minorHAnsi" w:hAnsiTheme="minorHAnsi" w:cstheme="minorHAnsi"/>
          <w:sz w:val="20"/>
          <w:szCs w:val="22"/>
          <w:lang w:eastAsia="pt-BR"/>
        </w:rPr>
        <w:t>etomada da discussão sobre as novas Diretrizes Curriculares Nacionais de Arquitetura e Urbanismo (DCN)</w:t>
      </w:r>
      <w:r w:rsidRPr="004A7AF1">
        <w:rPr>
          <w:rFonts w:asciiTheme="minorHAnsi" w:hAnsiTheme="minorHAnsi" w:cstheme="minorHAnsi"/>
          <w:sz w:val="20"/>
          <w:szCs w:val="22"/>
          <w:lang w:eastAsia="pt-BR"/>
        </w:rPr>
        <w:t>.</w:t>
      </w:r>
    </w:p>
    <w:p w:rsidR="00507DD9" w:rsidRPr="004A7AF1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1A2002">
        <w:rPr>
          <w:rFonts w:asciiTheme="minorHAnsi" w:hAnsiTheme="minorHAnsi" w:cstheme="minorHAnsi"/>
          <w:lang w:eastAsia="pt-BR"/>
        </w:rPr>
        <w:t>29</w:t>
      </w:r>
      <w:r w:rsidR="0020210B" w:rsidRPr="00A5451E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1A2002">
        <w:rPr>
          <w:rFonts w:asciiTheme="minorHAnsi" w:hAnsiTheme="minorHAnsi" w:cstheme="minorHAnsi"/>
          <w:lang w:eastAsia="pt-BR"/>
        </w:rPr>
        <w:t xml:space="preserve">abril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  <w:r w:rsidRPr="00D824F4">
        <w:rPr>
          <w:rFonts w:ascii="Calibri" w:eastAsiaTheme="minorHAnsi" w:hAnsi="Calibri" w:cs="Calibri"/>
          <w:color w:val="000000"/>
        </w:rPr>
        <w:t>Considerando que as Diretrizes Curriculares Nacionais são essenciais para a elaboração das Manifestações Técnicas acerca dos atos de autorização, reconhecimento e renovação de reconhecimento de cursos de graduação e a crucial relevância das DCN atualizadas e ampliadas para a qualidade do ensino de Arquitetura e Urbanismo no país;</w:t>
      </w: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  <w:r w:rsidRPr="00D824F4">
        <w:rPr>
          <w:rFonts w:ascii="Calibri" w:eastAsiaTheme="minorHAnsi" w:hAnsi="Calibri" w:cs="Calibri"/>
          <w:color w:val="000000"/>
        </w:rPr>
        <w:t xml:space="preserve">Considerando o anexo da Deliberação nº 007/2022 – CEF-CAU/RS que propôs a realização de reuniões com as Comissões de Ensino e Formação do CAU/BR e dos </w:t>
      </w:r>
      <w:proofErr w:type="spellStart"/>
      <w:r w:rsidRPr="00D824F4">
        <w:rPr>
          <w:rFonts w:ascii="Calibri" w:eastAsiaTheme="minorHAnsi" w:hAnsi="Calibri" w:cs="Calibri"/>
          <w:color w:val="000000"/>
        </w:rPr>
        <w:t>CAUs</w:t>
      </w:r>
      <w:proofErr w:type="spellEnd"/>
      <w:r w:rsidRPr="00D824F4">
        <w:rPr>
          <w:rFonts w:ascii="Calibri" w:eastAsiaTheme="minorHAnsi" w:hAnsi="Calibri" w:cs="Calibri"/>
          <w:color w:val="000000"/>
        </w:rPr>
        <w:t xml:space="preserve">/UF, com as Entidades da Classe (IAB, ABEA, ASBEA, ABAP, FNA, AI, FNEA, </w:t>
      </w:r>
      <w:proofErr w:type="spellStart"/>
      <w:r w:rsidRPr="00D824F4">
        <w:rPr>
          <w:rFonts w:ascii="Calibri" w:eastAsiaTheme="minorHAnsi" w:hAnsi="Calibri" w:cs="Calibri"/>
          <w:color w:val="000000"/>
        </w:rPr>
        <w:t>etc</w:t>
      </w:r>
      <w:proofErr w:type="spellEnd"/>
      <w:r w:rsidRPr="00D824F4">
        <w:rPr>
          <w:rFonts w:ascii="Calibri" w:eastAsiaTheme="minorHAnsi" w:hAnsi="Calibri" w:cs="Calibri"/>
          <w:color w:val="000000"/>
        </w:rPr>
        <w:t>) relacionadas ao tema e com os coordenadores de cursos e docentes das instituições de Ensino do Rio Grande do Sul, com o intuído de retomar a discussão sobre as novas Diretrizes Curriculares Nacionais de Arquitetura e Urbanismo (DCN) e revisão da minuta elaborada em 2019;</w:t>
      </w: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  <w:r w:rsidRPr="00D824F4">
        <w:rPr>
          <w:rFonts w:ascii="Calibri" w:eastAsiaTheme="minorHAnsi" w:hAnsi="Calibri" w:cs="Calibri"/>
          <w:color w:val="000000"/>
        </w:rPr>
        <w:t>Considerando a Resolução nº de 210, de 24 de setembro de 2021 que altera a Resolução CAU/BR n° 51, de 12 de julho de 2013, a qual dispõe sobre as áreas de atuação privativas dos arquitetos e urbanistas e as áreas de atuação compartilhada com outras profissões regulamentadas, especificamente no artigo 2º, que estabelece como áreas de atuação, aquelas adquiridas na formação do profissional;</w:t>
      </w: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  <w:r w:rsidRPr="00D824F4">
        <w:rPr>
          <w:rFonts w:ascii="Calibri" w:eastAsiaTheme="minorHAnsi" w:hAnsi="Calibri" w:cs="Calibri"/>
          <w:color w:val="000000"/>
        </w:rPr>
        <w:t xml:space="preserve">Considerando a Deliberação nº 077/2019 CEF-CAU/BR que enviou proposta de revisão das Diretrizes Curriculares Nacionais para os cursos de graduação em Arquitetura e Urbanismo à Associação Brasileira de Ensino de Arquitetura e Urbanismo – ABEA debate e encaminhamento no XXXVII ENSEA/XX CONABEA, realizado entre 12 a 15 de novembro de 2019; </w:t>
      </w: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  <w:r w:rsidRPr="00D824F4">
        <w:rPr>
          <w:rFonts w:ascii="Calibri" w:eastAsiaTheme="minorHAnsi" w:hAnsi="Calibri" w:cs="Calibri"/>
          <w:color w:val="000000"/>
        </w:rPr>
        <w:t>Considerando a Deliberação Plenária DPO-RS nº 1383/2021 que homologou Nota Pública do CAU/RS quanto ao Ensino Remoto Emergencial e a retomada da interatividade presencial no Ensino e Formação em Arquitetura e Urbanismo, encaminhada ao CAU/BR através do Protocolo SICCAU nº 1433257/2022;</w:t>
      </w:r>
    </w:p>
    <w:p w:rsidR="00D824F4" w:rsidRP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</w:p>
    <w:p w:rsidR="007F4B5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  <w:r w:rsidRPr="00D824F4">
        <w:rPr>
          <w:rFonts w:ascii="Calibri" w:eastAsiaTheme="minorHAnsi" w:hAnsi="Calibri" w:cs="Calibri"/>
          <w:color w:val="000000"/>
        </w:rPr>
        <w:lastRenderedPageBreak/>
        <w:t>Considerando a Deliberação Plenária DPO-RS nº 1421/2022 que homologou Nota Conjunta do CAU/RS,</w:t>
      </w:r>
      <w:r>
        <w:rPr>
          <w:rFonts w:ascii="Calibri" w:eastAsiaTheme="minorHAnsi" w:hAnsi="Calibri" w:cs="Calibri"/>
          <w:color w:val="000000"/>
        </w:rPr>
        <w:t xml:space="preserve"> </w:t>
      </w:r>
      <w:r w:rsidRPr="00D824F4">
        <w:rPr>
          <w:rFonts w:ascii="Calibri" w:eastAsiaTheme="minorHAnsi" w:hAnsi="Calibri" w:cs="Calibri"/>
          <w:color w:val="000000"/>
        </w:rPr>
        <w:t>CAU/SC e CAU/PR quanto ao Enfrentamento do Ensino à Distância em Arquitetura e Urbanismo, encaminhada ao CAU/BR através do Protocolo SICCAU nº 1488688/2022.</w:t>
      </w:r>
      <w:r w:rsidRPr="00D824F4">
        <w:rPr>
          <w:rFonts w:ascii="Calibri" w:eastAsiaTheme="minorHAnsi" w:hAnsi="Calibri" w:cs="Calibri"/>
          <w:color w:val="000000"/>
        </w:rPr>
        <w:tab/>
      </w:r>
      <w:r w:rsidR="007F4B54">
        <w:rPr>
          <w:rFonts w:ascii="Calibri" w:eastAsiaTheme="minorHAnsi" w:hAnsi="Calibri" w:cs="Calibri"/>
          <w:color w:val="000000"/>
        </w:rPr>
        <w:t xml:space="preserve"> </w:t>
      </w:r>
    </w:p>
    <w:p w:rsid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</w:p>
    <w:p w:rsidR="00D824F4" w:rsidRDefault="00D824F4" w:rsidP="00D824F4">
      <w:pPr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eastAsiaTheme="minorHAnsi" w:hAnsi="Calibri" w:cs="Calibri"/>
          <w:color w:val="000000"/>
        </w:rPr>
        <w:t xml:space="preserve">Considerando a Deliberação nº 021/2022 do Conselho Diretor que determinou encaminhar </w:t>
      </w:r>
      <w:r w:rsidRPr="00D824F4">
        <w:rPr>
          <w:rFonts w:ascii="Calibri" w:eastAsiaTheme="minorHAnsi" w:hAnsi="Calibri" w:cs="Calibri"/>
          <w:color w:val="000000"/>
        </w:rPr>
        <w:t xml:space="preserve">ao CAU/BR, </w:t>
      </w:r>
      <w:r>
        <w:rPr>
          <w:rFonts w:ascii="Calibri" w:eastAsiaTheme="minorHAnsi" w:hAnsi="Calibri" w:cs="Calibri"/>
          <w:color w:val="000000"/>
        </w:rPr>
        <w:t xml:space="preserve">solicitação de </w:t>
      </w:r>
      <w:r w:rsidRPr="00D824F4">
        <w:rPr>
          <w:rFonts w:ascii="Calibri" w:eastAsiaTheme="minorHAnsi" w:hAnsi="Calibri" w:cs="Calibri"/>
          <w:color w:val="000000"/>
        </w:rPr>
        <w:t>retomada das discussões sobre as novas Diretrizes Curriculares Nacionais de</w:t>
      </w:r>
      <w:r>
        <w:rPr>
          <w:rFonts w:ascii="Calibri" w:eastAsiaTheme="minorHAnsi" w:hAnsi="Calibri" w:cs="Calibri"/>
          <w:color w:val="000000"/>
        </w:rPr>
        <w:t xml:space="preserve"> Arquitetura e Urbanismo (DCN), dentre outras providências.</w:t>
      </w:r>
    </w:p>
    <w:p w:rsidR="00D824F4" w:rsidRDefault="00D824F4" w:rsidP="00D824F4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4F5946" w:rsidRDefault="00AC106A">
      <w:pPr>
        <w:jc w:val="both"/>
        <w:rPr>
          <w:rFonts w:asciiTheme="minorHAnsi" w:hAnsiTheme="minorHAnsi" w:cstheme="minorHAnsi"/>
          <w:b/>
          <w:lang w:eastAsia="pt-BR"/>
        </w:rPr>
      </w:pPr>
    </w:p>
    <w:p w:rsidR="00965757" w:rsidRPr="00D824F4" w:rsidRDefault="00D824F4" w:rsidP="00FF5407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D824F4">
        <w:rPr>
          <w:rFonts w:asciiTheme="minorHAnsi" w:hAnsiTheme="minorHAnsi" w:cstheme="minorHAnsi"/>
        </w:rPr>
        <w:t>Encaminhar ao CAU/BR, solicitação de retomada das discussões sobre as novas Diretrizes Curriculares Nacionais de Arquitetura e Urbanismo (DCN), a partir do anexo da Deliberação nº 077/2019 – CEF-CAU/BR, protagonizando os debates e o encaminhamento ao MEC (Ministério da Educação), bem como das justificativas que embasam a imediata necessidade de atualização das DCN</w:t>
      </w:r>
      <w:r w:rsidRPr="00D824F4">
        <w:rPr>
          <w:rFonts w:ascii="Calibri" w:eastAsiaTheme="minorHAnsi" w:hAnsi="Calibri" w:cs="Calibri"/>
          <w:color w:val="000000"/>
        </w:rPr>
        <w:t>;</w:t>
      </w:r>
    </w:p>
    <w:p w:rsidR="00D824F4" w:rsidRPr="00D824F4" w:rsidRDefault="00D824F4" w:rsidP="00D824F4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D824F4" w:rsidRPr="00D824F4" w:rsidRDefault="00D824F4" w:rsidP="00D824F4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D824F4">
        <w:rPr>
          <w:rFonts w:asciiTheme="minorHAnsi" w:hAnsiTheme="minorHAnsi" w:cstheme="minorHAnsi"/>
        </w:rPr>
        <w:t xml:space="preserve">Disponibilizar equipe e estrutura do CAU/RS para sediar reuniões com as Comissões de Ensino e Formação do CAU/BR e dos </w:t>
      </w:r>
      <w:proofErr w:type="spellStart"/>
      <w:r w:rsidRPr="00D824F4">
        <w:rPr>
          <w:rFonts w:asciiTheme="minorHAnsi" w:hAnsiTheme="minorHAnsi" w:cstheme="minorHAnsi"/>
        </w:rPr>
        <w:t>CAUs</w:t>
      </w:r>
      <w:proofErr w:type="spellEnd"/>
      <w:r w:rsidRPr="00D824F4">
        <w:rPr>
          <w:rFonts w:asciiTheme="minorHAnsi" w:hAnsiTheme="minorHAnsi" w:cstheme="minorHAnsi"/>
        </w:rPr>
        <w:t xml:space="preserve">/UF, Entidades da Classe (IAB, ABEA, ASBEA, ABAP, FNA, AI, FNEA, </w:t>
      </w:r>
      <w:proofErr w:type="spellStart"/>
      <w:r w:rsidRPr="00D824F4">
        <w:rPr>
          <w:rFonts w:asciiTheme="minorHAnsi" w:hAnsiTheme="minorHAnsi" w:cstheme="minorHAnsi"/>
        </w:rPr>
        <w:t>etc</w:t>
      </w:r>
      <w:proofErr w:type="spellEnd"/>
      <w:r w:rsidRPr="00D824F4">
        <w:rPr>
          <w:rFonts w:asciiTheme="minorHAnsi" w:hAnsiTheme="minorHAnsi" w:cstheme="minorHAnsi"/>
        </w:rPr>
        <w:t>) relacionadas ao tema e coordenadores de cursos e/ou docentes das instituições de Ensino do Rio Grande do Sul;</w:t>
      </w:r>
    </w:p>
    <w:p w:rsidR="00D824F4" w:rsidRPr="00D824F4" w:rsidRDefault="00D824F4" w:rsidP="00D824F4">
      <w:pPr>
        <w:pStyle w:val="PargrafodaLista"/>
        <w:rPr>
          <w:rFonts w:asciiTheme="minorHAnsi" w:hAnsiTheme="minorHAnsi" w:cstheme="minorHAnsi"/>
        </w:rPr>
      </w:pPr>
    </w:p>
    <w:p w:rsidR="00D824F4" w:rsidRDefault="00D824F4" w:rsidP="00D824F4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D824F4">
        <w:rPr>
          <w:rFonts w:asciiTheme="minorHAnsi" w:hAnsiTheme="minorHAnsi" w:cstheme="minorHAnsi"/>
        </w:rPr>
        <w:t>Determinar que sejam vinculados a este protocolo os demais protocolos SICCAU já existentes, na tramitação desta solicitação, de modo a reiterar e ratificar o posicionamento do CAU/RS quanto ao tema;</w:t>
      </w:r>
    </w:p>
    <w:p w:rsidR="00E35D99" w:rsidRPr="00E35D99" w:rsidRDefault="00E35D99" w:rsidP="00E35D9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1503E4" w:rsidRPr="00D824F4" w:rsidRDefault="001503E4" w:rsidP="00FF5407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D824F4">
        <w:rPr>
          <w:rFonts w:asciiTheme="minorHAnsi" w:hAnsiTheme="minorHAnsi" w:cstheme="minorHAnsi"/>
        </w:rPr>
        <w:t>Determinar o encaminhamento d</w:t>
      </w:r>
      <w:r w:rsidR="007F4B54" w:rsidRPr="00D824F4">
        <w:rPr>
          <w:rFonts w:asciiTheme="minorHAnsi" w:hAnsiTheme="minorHAnsi" w:cstheme="minorHAnsi"/>
        </w:rPr>
        <w:t xml:space="preserve">a presente deliberação </w:t>
      </w:r>
      <w:r w:rsidRPr="00D824F4">
        <w:rPr>
          <w:rFonts w:asciiTheme="minorHAnsi" w:hAnsiTheme="minorHAnsi" w:cstheme="minorHAnsi"/>
        </w:rPr>
        <w:t>à Presidência do CAU/BR com a solicitação de consideração das sugestões de melhorias;</w:t>
      </w:r>
    </w:p>
    <w:p w:rsidR="001503E4" w:rsidRPr="00D824F4" w:rsidRDefault="001503E4" w:rsidP="001503E4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7F4B54" w:rsidRPr="00D824F4" w:rsidRDefault="001503E4" w:rsidP="00FF5407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D824F4">
        <w:rPr>
          <w:rFonts w:asciiTheme="minorHAnsi" w:hAnsiTheme="minorHAnsi" w:cstheme="minorHAnsi"/>
        </w:rPr>
        <w:t>Encaminhar a presente deliberação à Secretaria Geral para providências necessárias</w:t>
      </w:r>
    </w:p>
    <w:p w:rsidR="00FF5407" w:rsidRPr="00D824F4" w:rsidRDefault="00FF5407" w:rsidP="00FF5407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507DD9" w:rsidRPr="00FF540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FF540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77451E" w:rsidRPr="006203A7" w:rsidRDefault="0077451E" w:rsidP="007745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Com 19 (dezenove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</w:t>
      </w:r>
      <w:r>
        <w:rPr>
          <w:rFonts w:asciiTheme="minorHAnsi" w:hAnsiTheme="minorHAnsi" w:cstheme="minorHAnsi"/>
          <w:szCs w:val="22"/>
          <w:lang w:eastAsia="pt-BR"/>
        </w:rPr>
        <w:t>, Carlos Eduardo Iponema Costa</w:t>
      </w:r>
      <w:r w:rsidRPr="00FD5006">
        <w:rPr>
          <w:rFonts w:asciiTheme="minorHAnsi" w:hAnsiTheme="minorHAnsi" w:cstheme="minorHAnsi"/>
          <w:szCs w:val="22"/>
          <w:lang w:eastAsia="pt-BR"/>
        </w:rPr>
        <w:t>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>mões, 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>, Fabio Muller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>Rodrigo Spinelli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03 (três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 xml:space="preserve"> e Letícia Kauer</w:t>
      </w:r>
      <w:r w:rsidRPr="00FD5006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>Porto Alegre – RS, 29 de abril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7451E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7F4B5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77451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D824F4"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1483075</w:t>
            </w:r>
            <w:r w:rsidR="00AC106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FF540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77451E" w:rsidRPr="009116E7" w:rsidTr="00137A2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7451E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7451E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77451E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77451E" w:rsidRPr="009116E7" w:rsidTr="00137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451E" w:rsidRPr="00416649" w:rsidRDefault="0077451E" w:rsidP="0077451E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77451E" w:rsidRPr="00E106FD" w:rsidRDefault="0077451E" w:rsidP="007745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FF540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77451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D824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</w:t>
            </w:r>
            <w:r w:rsidR="00D824F4" w:rsidRPr="00D824F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etomada da discussão sobre as novas Diretrizes Curriculares Nacionais de Arquitetura e Urbanismo (DCN)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7451E" w:rsidRPr="0077451E" w:rsidRDefault="0077451E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7451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7745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(19) Ausências (03) total (22)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77451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6CC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6CC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A6CC8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6CC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A6CC8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1A70921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B06F00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3CF820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1A70921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13101F"/>
    <w:rsid w:val="001503E4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16E71"/>
    <w:rsid w:val="00421D3E"/>
    <w:rsid w:val="004250EB"/>
    <w:rsid w:val="004921EE"/>
    <w:rsid w:val="004A7853"/>
    <w:rsid w:val="004A7AF1"/>
    <w:rsid w:val="004B0F35"/>
    <w:rsid w:val="004F4077"/>
    <w:rsid w:val="004F5946"/>
    <w:rsid w:val="00507DD9"/>
    <w:rsid w:val="00594DD0"/>
    <w:rsid w:val="005C18E0"/>
    <w:rsid w:val="005C3926"/>
    <w:rsid w:val="0061151A"/>
    <w:rsid w:val="006264DF"/>
    <w:rsid w:val="00665E9D"/>
    <w:rsid w:val="0066618A"/>
    <w:rsid w:val="00705862"/>
    <w:rsid w:val="00735525"/>
    <w:rsid w:val="00741A3F"/>
    <w:rsid w:val="0074549A"/>
    <w:rsid w:val="00766FE1"/>
    <w:rsid w:val="0077451E"/>
    <w:rsid w:val="007A1836"/>
    <w:rsid w:val="007F4B54"/>
    <w:rsid w:val="008037A5"/>
    <w:rsid w:val="00844FAA"/>
    <w:rsid w:val="00863CC9"/>
    <w:rsid w:val="00871AD5"/>
    <w:rsid w:val="008B0FC5"/>
    <w:rsid w:val="008D4EAD"/>
    <w:rsid w:val="009116E7"/>
    <w:rsid w:val="00965757"/>
    <w:rsid w:val="009F48A5"/>
    <w:rsid w:val="009F7A5C"/>
    <w:rsid w:val="00A5451E"/>
    <w:rsid w:val="00AB2898"/>
    <w:rsid w:val="00AB3628"/>
    <w:rsid w:val="00AC106A"/>
    <w:rsid w:val="00AE0F38"/>
    <w:rsid w:val="00B473AC"/>
    <w:rsid w:val="00B80B09"/>
    <w:rsid w:val="00BC12AE"/>
    <w:rsid w:val="00CC4BED"/>
    <w:rsid w:val="00CD4B3C"/>
    <w:rsid w:val="00D824F4"/>
    <w:rsid w:val="00E35D99"/>
    <w:rsid w:val="00E5615B"/>
    <w:rsid w:val="00E65E3D"/>
    <w:rsid w:val="00E66813"/>
    <w:rsid w:val="00EC4204"/>
    <w:rsid w:val="00ED7FDA"/>
    <w:rsid w:val="00EE0389"/>
    <w:rsid w:val="00EE061E"/>
    <w:rsid w:val="00F44056"/>
    <w:rsid w:val="00F95ADD"/>
    <w:rsid w:val="00FA6CC8"/>
    <w:rsid w:val="00FB5D9F"/>
    <w:rsid w:val="00FC05FF"/>
    <w:rsid w:val="00FC2C1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413E-9203-4A68-81F5-41437FE3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10</cp:revision>
  <cp:lastPrinted>2021-11-22T12:22:00Z</cp:lastPrinted>
  <dcterms:created xsi:type="dcterms:W3CDTF">2022-04-29T01:17:00Z</dcterms:created>
  <dcterms:modified xsi:type="dcterms:W3CDTF">2022-05-03T17:14:00Z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