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8776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90"/>
        <w:gridCol w:w="7186"/>
      </w:tblGrid>
      <w:tr w:rsidR="009116E7" w:rsidRPr="009116E7">
        <w:trPr>
          <w:cantSplit/>
          <w:trHeight w:val="275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PROCESSO</w:t>
            </w:r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410EDA" w:rsidRDefault="004F4077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410EDA">
              <w:rPr>
                <w:rFonts w:asciiTheme="minorHAnsi" w:hAnsiTheme="minorHAnsi" w:cstheme="minorHAnsi"/>
                <w:bCs/>
                <w:lang w:eastAsia="pt-BR"/>
              </w:rPr>
              <w:t xml:space="preserve">Protocolo SICCAU nº </w:t>
            </w:r>
            <w:r w:rsidR="00410EDA" w:rsidRPr="00410EDA">
              <w:rPr>
                <w:rFonts w:asciiTheme="minorHAnsi" w:hAnsiTheme="minorHAnsi" w:cstheme="minorHAnsi"/>
              </w:rPr>
              <w:t>1483815</w:t>
            </w:r>
            <w:r w:rsidR="00CD4B3C" w:rsidRPr="00410EDA">
              <w:rPr>
                <w:rFonts w:asciiTheme="minorHAnsi" w:hAnsiTheme="minorHAnsi" w:cstheme="minorHAnsi"/>
              </w:rPr>
              <w:t>/2022</w:t>
            </w:r>
          </w:p>
        </w:tc>
      </w:tr>
      <w:tr w:rsidR="009116E7" w:rsidRPr="009116E7">
        <w:trPr>
          <w:cantSplit/>
          <w:trHeight w:val="265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INTERESSADO</w:t>
            </w:r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410EDA" w:rsidRDefault="0020210B" w:rsidP="00CD4B3C">
            <w:pPr>
              <w:widowControl w:val="0"/>
            </w:pPr>
            <w:r w:rsidRPr="00410EDA">
              <w:rPr>
                <w:rFonts w:asciiTheme="minorHAnsi" w:hAnsiTheme="minorHAnsi" w:cstheme="minorHAnsi"/>
              </w:rPr>
              <w:t xml:space="preserve">Comissão de </w:t>
            </w:r>
            <w:r w:rsidR="00CD4B3C" w:rsidRPr="00410EDA">
              <w:rPr>
                <w:rFonts w:asciiTheme="minorHAnsi" w:hAnsiTheme="minorHAnsi" w:cstheme="minorHAnsi"/>
              </w:rPr>
              <w:t>Exercício Profissional</w:t>
            </w:r>
            <w:r w:rsidR="004F4077" w:rsidRPr="00410EDA">
              <w:rPr>
                <w:rFonts w:asciiTheme="minorHAnsi" w:hAnsiTheme="minorHAnsi" w:cstheme="minorHAnsi"/>
              </w:rPr>
              <w:t xml:space="preserve"> do CAU/RS</w:t>
            </w:r>
          </w:p>
        </w:tc>
      </w:tr>
      <w:tr w:rsidR="009116E7" w:rsidRPr="009116E7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rPr>
                <w:sz w:val="28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410EDA" w:rsidRDefault="00DE316E" w:rsidP="00DE316E">
            <w:pPr>
              <w:widowControl w:val="0"/>
              <w:jc w:val="both"/>
            </w:pPr>
            <w:bookmarkStart w:id="4" w:name="__UnoMark__209_36711491161"/>
            <w:bookmarkStart w:id="5" w:name="__UnoMark__98_415616081"/>
            <w:bookmarkEnd w:id="4"/>
            <w:bookmarkEnd w:id="5"/>
            <w:r w:rsidRPr="00410EDA">
              <w:rPr>
                <w:rFonts w:asciiTheme="minorHAnsi" w:hAnsiTheme="minorHAnsi" w:cstheme="minorHAnsi"/>
                <w:lang w:eastAsia="pt-BR"/>
              </w:rPr>
              <w:t>Cobrança de correção monetária, juros e multa de mora em relação aos débitos não pagos no prazo, conforme a Resolução nº 193, do CAU/BR</w:t>
            </w:r>
          </w:p>
        </w:tc>
      </w:tr>
    </w:tbl>
    <w:p w:rsidR="00507DD9" w:rsidRPr="009116E7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 xml:space="preserve">DELIBERAÇÃO PLENÁRIA DPO/RS Nº </w:t>
      </w:r>
      <w:r w:rsidR="0020210B">
        <w:rPr>
          <w:rFonts w:asciiTheme="minorHAnsi" w:hAnsiTheme="minorHAnsi" w:cstheme="minorHAnsi"/>
          <w:szCs w:val="22"/>
          <w:lang w:eastAsia="pt-BR"/>
        </w:rPr>
        <w:t>142</w:t>
      </w:r>
      <w:r w:rsidR="00DE316E">
        <w:rPr>
          <w:rFonts w:asciiTheme="minorHAnsi" w:hAnsiTheme="minorHAnsi" w:cstheme="minorHAnsi"/>
          <w:szCs w:val="22"/>
          <w:lang w:eastAsia="pt-BR"/>
        </w:rPr>
        <w:t>6</w:t>
      </w:r>
      <w:r w:rsidRPr="009116E7">
        <w:rPr>
          <w:rFonts w:asciiTheme="minorHAnsi" w:hAnsiTheme="minorHAnsi" w:cstheme="minorHAnsi"/>
          <w:szCs w:val="22"/>
          <w:lang w:eastAsia="pt-BR"/>
        </w:rPr>
        <w:t>/202</w:t>
      </w:r>
      <w:r w:rsidR="00ED7FDA" w:rsidRPr="009116E7">
        <w:rPr>
          <w:rFonts w:asciiTheme="minorHAnsi" w:hAnsiTheme="minorHAnsi" w:cstheme="minorHAnsi"/>
          <w:szCs w:val="22"/>
          <w:lang w:eastAsia="pt-BR"/>
        </w:rPr>
        <w:t>2</w:t>
      </w:r>
    </w:p>
    <w:p w:rsidR="00507DD9" w:rsidRPr="009116E7" w:rsidRDefault="00507DD9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CD4B3C" w:rsidRDefault="0020210B" w:rsidP="00CD4B3C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Homologa encaminhar ao CAU/BR, </w:t>
      </w:r>
      <w:r w:rsidR="00DE316E" w:rsidRPr="00DE316E">
        <w:rPr>
          <w:rFonts w:asciiTheme="minorHAnsi" w:hAnsiTheme="minorHAnsi" w:cstheme="minorHAnsi"/>
          <w:sz w:val="22"/>
          <w:szCs w:val="22"/>
          <w:lang w:eastAsia="pt-BR"/>
        </w:rPr>
        <w:t>questionamento acerca da cobrança de correção monetária, juros e multa de mora em relação aos débitos não pagos no prazo, conforme a Resolução nº 193, do CAU/BR</w:t>
      </w:r>
      <w:r w:rsidR="00CD4B3C"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CD4B3C">
        <w:rPr>
          <w:rFonts w:asciiTheme="minorHAnsi" w:hAnsiTheme="minorHAnsi" w:cstheme="minorHAnsi"/>
          <w:sz w:val="22"/>
          <w:szCs w:val="22"/>
          <w:lang w:eastAsia="pt-BR"/>
        </w:rPr>
        <w:t>e dá outras providências</w:t>
      </w:r>
      <w:r w:rsidR="004F4077" w:rsidRPr="00CD4B3C">
        <w:rPr>
          <w:rFonts w:asciiTheme="minorHAnsi" w:hAnsiTheme="minorHAnsi" w:cstheme="minorHAnsi"/>
          <w:sz w:val="22"/>
          <w:szCs w:val="22"/>
        </w:rPr>
        <w:t>.</w:t>
      </w:r>
    </w:p>
    <w:p w:rsidR="00507DD9" w:rsidRPr="009116E7" w:rsidRDefault="00507D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20210B" w:rsidRPr="00A5451E">
        <w:rPr>
          <w:rFonts w:asciiTheme="minorHAnsi" w:hAnsiTheme="minorHAnsi" w:cstheme="minorHAnsi"/>
          <w:lang w:eastAsia="pt-BR"/>
        </w:rPr>
        <w:t xml:space="preserve">18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20210B" w:rsidRPr="00A5451E">
        <w:rPr>
          <w:rFonts w:asciiTheme="minorHAnsi" w:hAnsiTheme="minorHAnsi" w:cstheme="minorHAnsi"/>
          <w:lang w:eastAsia="pt-BR"/>
        </w:rPr>
        <w:t xml:space="preserve">março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410EDA" w:rsidRPr="00217A10" w:rsidRDefault="00410EDA" w:rsidP="00410ED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7A10">
        <w:rPr>
          <w:rFonts w:asciiTheme="minorHAnsi" w:hAnsiTheme="minorHAnsi" w:cstheme="minorHAnsi"/>
        </w:rPr>
        <w:t xml:space="preserve">Considerando o disposto no art. 24, § 1º, da Lei nº 12.378/2010, o qual estabelece que o Conselho de Arquitetura e Urbanismo do Rio Grande do Sul (CAU/RS) tem como função orientar, disciplinar e </w:t>
      </w:r>
      <w:r w:rsidRPr="00217A10">
        <w:rPr>
          <w:rFonts w:asciiTheme="minorHAnsi" w:hAnsiTheme="minorHAnsi" w:cstheme="minorHAnsi"/>
          <w:u w:val="single"/>
        </w:rPr>
        <w:t>fiscalizar o exercício da profissão de Arquitetura e Urbanismo</w:t>
      </w:r>
      <w:r w:rsidRPr="00217A10">
        <w:rPr>
          <w:rFonts w:asciiTheme="minorHAnsi" w:hAnsiTheme="minorHAnsi" w:cstheme="minorHAnsi"/>
        </w:rPr>
        <w:t>, zelar pela fiel observância dos princípios de ética e disciplina da classe em todo o território nacional, bem como pugnar pelo aperfeiçoamento do exercício da Arquitetura e Urbanismo;</w:t>
      </w:r>
    </w:p>
    <w:p w:rsidR="00410EDA" w:rsidRPr="00217A10" w:rsidRDefault="00410EDA" w:rsidP="00410ED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C31B1" w:rsidRPr="00217A10" w:rsidRDefault="00CC31B1" w:rsidP="00CC31B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17A10">
        <w:rPr>
          <w:rFonts w:asciiTheme="minorHAnsi" w:hAnsiTheme="minorHAnsi" w:cstheme="minorHAnsi"/>
          <w:color w:val="auto"/>
        </w:rPr>
        <w:t>Considerando a Resolução CAU/BR n° 211, de 19 de novembro de 2021, que alterou a redação do art. 10 da Resolução nº 193, de 24 de setembro de 2020, dispositivo em vigor desde 1ª de janeiro de 2022, conforme segue:</w:t>
      </w:r>
    </w:p>
    <w:p w:rsidR="00CC31B1" w:rsidRPr="00217A10" w:rsidRDefault="00CC31B1" w:rsidP="00CC31B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</w:rPr>
      </w:pPr>
      <w:r w:rsidRPr="00217A10">
        <w:rPr>
          <w:rFonts w:asciiTheme="minorHAnsi" w:hAnsiTheme="minorHAnsi" w:cstheme="minorHAnsi"/>
        </w:rPr>
        <w:t>“</w:t>
      </w:r>
      <w:r w:rsidRPr="00217A10">
        <w:rPr>
          <w:rFonts w:asciiTheme="minorHAnsi" w:hAnsiTheme="minorHAnsi" w:cstheme="minorHAnsi"/>
          <w:i/>
        </w:rPr>
        <w:t xml:space="preserve">Art. 10. As anuidades e </w:t>
      </w:r>
      <w:r w:rsidRPr="00217A10">
        <w:rPr>
          <w:rFonts w:asciiTheme="minorHAnsi" w:hAnsiTheme="minorHAnsi" w:cstheme="minorHAnsi"/>
          <w:i/>
          <w:u w:val="single"/>
        </w:rPr>
        <w:t xml:space="preserve">multas </w:t>
      </w:r>
      <w:r w:rsidRPr="00217A10">
        <w:rPr>
          <w:rFonts w:asciiTheme="minorHAnsi" w:hAnsiTheme="minorHAnsi" w:cstheme="minorHAnsi"/>
          <w:i/>
        </w:rPr>
        <w:t xml:space="preserve">devidas pelos arquitetos e urbanistas e pelas pessoas jurídicas, </w:t>
      </w:r>
      <w:r w:rsidRPr="00217A10">
        <w:rPr>
          <w:rFonts w:asciiTheme="minorHAnsi" w:hAnsiTheme="minorHAnsi" w:cstheme="minorHAnsi"/>
          <w:i/>
          <w:u w:val="single"/>
        </w:rPr>
        <w:t>que não forem quitadas nas datas dos respectivos vencimentos</w:t>
      </w:r>
      <w:r w:rsidRPr="00217A10">
        <w:rPr>
          <w:rFonts w:asciiTheme="minorHAnsi" w:hAnsiTheme="minorHAnsi" w:cstheme="minorHAnsi"/>
          <w:i/>
        </w:rPr>
        <w:t xml:space="preserve">, serão acrescidas dos seguintes encargos: </w:t>
      </w:r>
    </w:p>
    <w:p w:rsidR="00CC31B1" w:rsidRPr="00217A10" w:rsidRDefault="00CC31B1" w:rsidP="00CC31B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</w:rPr>
      </w:pPr>
      <w:r w:rsidRPr="00217A10">
        <w:rPr>
          <w:rFonts w:asciiTheme="minorHAnsi" w:hAnsiTheme="minorHAnsi" w:cstheme="minorHAnsi"/>
          <w:i/>
          <w:u w:val="single"/>
        </w:rPr>
        <w:t xml:space="preserve">I - </w:t>
      </w:r>
      <w:proofErr w:type="gramStart"/>
      <w:r w:rsidRPr="00217A10">
        <w:rPr>
          <w:rFonts w:asciiTheme="minorHAnsi" w:hAnsiTheme="minorHAnsi" w:cstheme="minorHAnsi"/>
          <w:i/>
          <w:u w:val="single"/>
        </w:rPr>
        <w:t>juros</w:t>
      </w:r>
      <w:proofErr w:type="gramEnd"/>
      <w:r w:rsidRPr="00217A10">
        <w:rPr>
          <w:rFonts w:asciiTheme="minorHAnsi" w:hAnsiTheme="minorHAnsi" w:cstheme="minorHAnsi"/>
          <w:i/>
          <w:u w:val="single"/>
        </w:rPr>
        <w:t xml:space="preserve"> equivalentes à </w:t>
      </w:r>
      <w:r w:rsidRPr="00217A10">
        <w:rPr>
          <w:rFonts w:asciiTheme="minorHAnsi" w:hAnsiTheme="minorHAnsi" w:cstheme="minorHAnsi"/>
          <w:i/>
        </w:rPr>
        <w:t xml:space="preserve">variação da </w:t>
      </w:r>
      <w:r w:rsidRPr="00217A10">
        <w:rPr>
          <w:rFonts w:asciiTheme="minorHAnsi" w:hAnsiTheme="minorHAnsi" w:cstheme="minorHAnsi"/>
          <w:i/>
          <w:u w:val="single"/>
        </w:rPr>
        <w:t>Taxa</w:t>
      </w:r>
      <w:r w:rsidRPr="00217A10">
        <w:rPr>
          <w:rFonts w:asciiTheme="minorHAnsi" w:hAnsiTheme="minorHAnsi" w:cstheme="minorHAnsi"/>
          <w:i/>
        </w:rPr>
        <w:t xml:space="preserve"> Referencial do Sistema Especial de Liquidação e de Custódia (</w:t>
      </w:r>
      <w:r w:rsidRPr="00217A10">
        <w:rPr>
          <w:rFonts w:asciiTheme="minorHAnsi" w:hAnsiTheme="minorHAnsi" w:cstheme="minorHAnsi"/>
          <w:i/>
          <w:u w:val="single"/>
        </w:rPr>
        <w:t>SELIC</w:t>
      </w:r>
      <w:r w:rsidRPr="00217A10">
        <w:rPr>
          <w:rFonts w:asciiTheme="minorHAnsi" w:hAnsiTheme="minorHAnsi" w:cstheme="minorHAnsi"/>
          <w:i/>
        </w:rPr>
        <w:t xml:space="preserve">), calculada desde o primeiro dia de atraso até o último dia do mês antecedente ao do pagamento, </w:t>
      </w:r>
      <w:r w:rsidRPr="00217A10">
        <w:rPr>
          <w:rFonts w:asciiTheme="minorHAnsi" w:hAnsiTheme="minorHAnsi" w:cstheme="minorHAnsi"/>
          <w:i/>
          <w:u w:val="single"/>
        </w:rPr>
        <w:t>e juros de 1% (um por cento) no mês do pagamento</w:t>
      </w:r>
      <w:r w:rsidRPr="00217A10">
        <w:rPr>
          <w:rFonts w:asciiTheme="minorHAnsi" w:hAnsiTheme="minorHAnsi" w:cstheme="minorHAnsi"/>
          <w:i/>
        </w:rPr>
        <w:t>; e</w:t>
      </w:r>
    </w:p>
    <w:p w:rsidR="00CC31B1" w:rsidRPr="00217A10" w:rsidRDefault="00CC31B1" w:rsidP="00CC31B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</w:rPr>
      </w:pPr>
    </w:p>
    <w:p w:rsidR="00CC31B1" w:rsidRPr="00217A10" w:rsidRDefault="00CC31B1" w:rsidP="00CC31B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</w:rPr>
      </w:pPr>
      <w:r w:rsidRPr="00217A10">
        <w:rPr>
          <w:rFonts w:asciiTheme="minorHAnsi" w:hAnsiTheme="minorHAnsi" w:cstheme="minorHAnsi"/>
          <w:i/>
        </w:rPr>
        <w:t xml:space="preserve">§ 1º Às anuidades vencidas também será acrescida multa de mora equivalente aos seguintes percentuais, aplicados sobre o valor do débito devidamente corrigido na forma do caput: (Incluído pela Resolução CAU/BR n° 211, de 19 de novembro de 2021) </w:t>
      </w:r>
    </w:p>
    <w:p w:rsidR="00CC31B1" w:rsidRPr="00217A10" w:rsidRDefault="00CC31B1" w:rsidP="00CC31B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</w:rPr>
      </w:pPr>
      <w:r w:rsidRPr="00217A10">
        <w:rPr>
          <w:rFonts w:asciiTheme="minorHAnsi" w:hAnsiTheme="minorHAnsi" w:cstheme="minorHAnsi"/>
          <w:i/>
        </w:rPr>
        <w:t xml:space="preserve">a) 10% (dez por cento): até o último dia útil do primeiro mês subsequente ao do vencimento; </w:t>
      </w:r>
    </w:p>
    <w:p w:rsidR="00CC31B1" w:rsidRPr="00217A10" w:rsidRDefault="00CC31B1" w:rsidP="00CC31B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</w:rPr>
      </w:pPr>
      <w:r w:rsidRPr="00217A10">
        <w:rPr>
          <w:rFonts w:asciiTheme="minorHAnsi" w:hAnsiTheme="minorHAnsi" w:cstheme="minorHAnsi"/>
          <w:i/>
        </w:rPr>
        <w:t xml:space="preserve">b) 15% (quinze por cento): até o último dia útil do segundo mês subsequente ao do vencimento; </w:t>
      </w:r>
    </w:p>
    <w:p w:rsidR="00CC31B1" w:rsidRPr="00217A10" w:rsidRDefault="00CC31B1" w:rsidP="00CC31B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</w:rPr>
      </w:pPr>
      <w:r w:rsidRPr="00217A10">
        <w:rPr>
          <w:rFonts w:asciiTheme="minorHAnsi" w:hAnsiTheme="minorHAnsi" w:cstheme="minorHAnsi"/>
          <w:i/>
        </w:rPr>
        <w:t>c) 20% (vinte por cento): a partir do terceiro mês subsequente ao do vencimento</w:t>
      </w:r>
      <w:r w:rsidRPr="00217A10">
        <w:rPr>
          <w:rFonts w:asciiTheme="minorHAnsi" w:hAnsiTheme="minorHAnsi" w:cstheme="minorHAnsi"/>
        </w:rPr>
        <w:t>. ”</w:t>
      </w:r>
    </w:p>
    <w:p w:rsidR="00CC31B1" w:rsidRPr="00217A10" w:rsidRDefault="00CC31B1" w:rsidP="00CC31B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</w:rPr>
      </w:pPr>
    </w:p>
    <w:p w:rsidR="00CC31B1" w:rsidRDefault="00CC31B1" w:rsidP="00CC31B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17A10">
        <w:rPr>
          <w:rFonts w:asciiTheme="minorHAnsi" w:hAnsiTheme="minorHAnsi" w:cstheme="minorHAnsi"/>
          <w:color w:val="auto"/>
        </w:rPr>
        <w:lastRenderedPageBreak/>
        <w:t>Considerando a análise do artigo 10 da Resolução CAU/BR nº 193/2020, resta dúvida quanto ao entendimento do CAU Brasil sobre a data de vencimento dos créditos decorrentes das multas de fiscalização, para fins de aplicação de correção/atualização monetária (juros de mora) e multa de mora;</w:t>
      </w:r>
    </w:p>
    <w:p w:rsidR="00152CBB" w:rsidRPr="00217A10" w:rsidRDefault="00152CBB" w:rsidP="00CC31B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410EDA" w:rsidRPr="00217A10" w:rsidRDefault="00410EDA" w:rsidP="00410E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17A10">
        <w:rPr>
          <w:rFonts w:asciiTheme="minorHAnsi" w:hAnsiTheme="minorHAnsi" w:cstheme="minorHAnsi"/>
          <w:color w:val="auto"/>
        </w:rPr>
        <w:t>Considerando a Orientação Jurídica nº 002/2021, de 6 de outubro de 2021, na qual a Assessoria Jurídica do CAU/RS concluiu que, “</w:t>
      </w:r>
      <w:r w:rsidRPr="00217A10">
        <w:rPr>
          <w:rFonts w:asciiTheme="minorHAnsi" w:hAnsiTheme="minorHAnsi" w:cstheme="minorHAnsi"/>
          <w:i/>
          <w:color w:val="auto"/>
        </w:rPr>
        <w:t>do ponto de vista estritamente jurídico, abstraída qualquer consideração acerca de conveniência e oportunidade, entende que em razão da vedação do enriquecimento sem causa do devedor aliada à legislação analisada, é dever do Conselho aplicar correção monetária, juros e multa de mora nas situações e percentuais constantes na fundamentação da Orientação Jurídica</w:t>
      </w:r>
      <w:r w:rsidRPr="00217A10">
        <w:rPr>
          <w:rFonts w:asciiTheme="minorHAnsi" w:hAnsiTheme="minorHAnsi" w:cstheme="minorHAnsi"/>
          <w:color w:val="auto"/>
        </w:rPr>
        <w:t>”;</w:t>
      </w:r>
    </w:p>
    <w:p w:rsidR="00410EDA" w:rsidRPr="00217A10" w:rsidRDefault="00410EDA" w:rsidP="00410ED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410EDA" w:rsidRPr="00217A10" w:rsidRDefault="00410EDA" w:rsidP="00410E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17A10">
        <w:rPr>
          <w:rFonts w:asciiTheme="minorHAnsi" w:hAnsiTheme="minorHAnsi" w:cstheme="minorHAnsi"/>
          <w:color w:val="auto"/>
        </w:rPr>
        <w:t>Considerando que, no que diz respeito à juros de mora e correção monetária, a Assessoria Jurídica do CAU/RS entendeu, conforme a legislação e a jurisprudência aplicáveis, que a exigibilidade de sua cobrança ocorre desde o fato gerador, a contar de seu vencimento originário, devendo ser cobrado</w:t>
      </w:r>
      <w:r w:rsidR="00CC31B1" w:rsidRPr="00217A10">
        <w:rPr>
          <w:rFonts w:asciiTheme="minorHAnsi" w:hAnsiTheme="minorHAnsi" w:cstheme="minorHAnsi"/>
          <w:color w:val="auto"/>
        </w:rPr>
        <w:t>,</w:t>
      </w:r>
      <w:r w:rsidRPr="00217A10">
        <w:rPr>
          <w:rFonts w:asciiTheme="minorHAnsi" w:hAnsiTheme="minorHAnsi" w:cstheme="minorHAnsi"/>
          <w:color w:val="auto"/>
        </w:rPr>
        <w:t xml:space="preserve"> inclusive</w:t>
      </w:r>
      <w:r w:rsidR="00CC31B1" w:rsidRPr="00217A10">
        <w:rPr>
          <w:rFonts w:asciiTheme="minorHAnsi" w:hAnsiTheme="minorHAnsi" w:cstheme="minorHAnsi"/>
          <w:color w:val="auto"/>
        </w:rPr>
        <w:t>,</w:t>
      </w:r>
      <w:r w:rsidRPr="00217A10">
        <w:rPr>
          <w:rFonts w:asciiTheme="minorHAnsi" w:hAnsiTheme="minorHAnsi" w:cstheme="minorHAnsi"/>
          <w:color w:val="auto"/>
        </w:rPr>
        <w:t xml:space="preserve"> no período em que o crédito estiver com sua exigibilidade suspensa, a não ser que haja alteração de valor por instâncias recursais, cobrando-se a partir do vencimento originário do novo valor; </w:t>
      </w:r>
    </w:p>
    <w:p w:rsidR="00410EDA" w:rsidRPr="00217A10" w:rsidRDefault="00410EDA" w:rsidP="00410E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17A10">
        <w:rPr>
          <w:rFonts w:asciiTheme="minorHAnsi" w:hAnsiTheme="minorHAnsi" w:cstheme="minorHAnsi"/>
          <w:color w:val="auto"/>
        </w:rPr>
        <w:t xml:space="preserve"> </w:t>
      </w:r>
    </w:p>
    <w:p w:rsidR="00410EDA" w:rsidRPr="00217A10" w:rsidRDefault="00410EDA" w:rsidP="00410E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17A10">
        <w:rPr>
          <w:rFonts w:asciiTheme="minorHAnsi" w:hAnsiTheme="minorHAnsi" w:cstheme="minorHAnsi"/>
          <w:color w:val="auto"/>
        </w:rPr>
        <w:t>Considerando que, no tocante à multa de mora, a Assessoria Jurídica do CAU/RS entendeu, em síntese, conforme a legislação e a jurisprudência aplicáveis (p. ex. art. 61 da Lei nº 9.430/96), que esta deve ser cobrada nos processos de fiscalização, bem como somente após o decurso do último prazo para apresentação de recurso, ou seja, considerado o trânsito em julgado, é que ocorrerá o vencimento do débito para fins de aplicação da multa de mora, que incidirá sobre o valor principal da dívida atualizado;</w:t>
      </w:r>
    </w:p>
    <w:p w:rsidR="00410EDA" w:rsidRPr="00217A10" w:rsidRDefault="00410EDA" w:rsidP="00410ED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410EDA" w:rsidRPr="00217A10" w:rsidRDefault="00410EDA" w:rsidP="00410E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17A10">
        <w:rPr>
          <w:rFonts w:asciiTheme="minorHAnsi" w:hAnsiTheme="minorHAnsi" w:cstheme="minorHAnsi"/>
          <w:color w:val="auto"/>
        </w:rPr>
        <w:t xml:space="preserve">Considerando </w:t>
      </w:r>
      <w:r w:rsidR="00CC31B1" w:rsidRPr="00217A10">
        <w:rPr>
          <w:rFonts w:asciiTheme="minorHAnsi" w:hAnsiTheme="minorHAnsi" w:cstheme="minorHAnsi"/>
          <w:color w:val="auto"/>
        </w:rPr>
        <w:t xml:space="preserve">o entendimento do CAU/RS de que </w:t>
      </w:r>
      <w:r w:rsidRPr="00217A10">
        <w:rPr>
          <w:rFonts w:asciiTheme="minorHAnsi" w:hAnsiTheme="minorHAnsi" w:cstheme="minorHAnsi"/>
          <w:color w:val="auto"/>
        </w:rPr>
        <w:t xml:space="preserve">a </w:t>
      </w:r>
      <w:r w:rsidR="00CC31B1" w:rsidRPr="00217A10">
        <w:rPr>
          <w:rFonts w:asciiTheme="minorHAnsi" w:hAnsiTheme="minorHAnsi" w:cstheme="minorHAnsi"/>
          <w:color w:val="auto"/>
        </w:rPr>
        <w:t xml:space="preserve">ausência de </w:t>
      </w:r>
      <w:r w:rsidRPr="00217A10">
        <w:rPr>
          <w:rFonts w:asciiTheme="minorHAnsi" w:hAnsiTheme="minorHAnsi" w:cstheme="minorHAnsi"/>
          <w:color w:val="auto"/>
        </w:rPr>
        <w:t>cobrança de atualização monetária e multa de mora, nas situações constantes no bojo da Orientação Jurídica nº 002/2021, pode caracterizar eventual renúncia da receita por parte do credor;</w:t>
      </w:r>
    </w:p>
    <w:p w:rsidR="0074549A" w:rsidRDefault="0074549A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:rsidR="0074549A" w:rsidRPr="00CB0E4D" w:rsidRDefault="0074549A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Considerando a Deliberação nº </w:t>
      </w:r>
      <w:r w:rsidR="00CC31B1">
        <w:rPr>
          <w:rFonts w:asciiTheme="minorHAnsi" w:hAnsiTheme="minorHAnsi" w:cstheme="minorHAnsi"/>
          <w:szCs w:val="22"/>
          <w:lang w:eastAsia="pt-BR"/>
        </w:rPr>
        <w:t>005</w:t>
      </w:r>
      <w:r>
        <w:rPr>
          <w:rFonts w:asciiTheme="minorHAnsi" w:hAnsiTheme="minorHAnsi" w:cstheme="minorHAnsi"/>
          <w:szCs w:val="22"/>
          <w:lang w:eastAsia="pt-BR"/>
        </w:rPr>
        <w:t xml:space="preserve">/2022 - </w:t>
      </w:r>
      <w:r w:rsidR="004B0B37">
        <w:rPr>
          <w:rFonts w:asciiTheme="minorHAnsi" w:hAnsiTheme="minorHAnsi" w:cstheme="minorHAnsi"/>
          <w:szCs w:val="22"/>
          <w:lang w:eastAsia="pt-BR"/>
        </w:rPr>
        <w:t>CEP</w:t>
      </w:r>
      <w:r w:rsidRPr="00CB0E4D">
        <w:rPr>
          <w:rFonts w:asciiTheme="minorHAnsi" w:hAnsiTheme="minorHAnsi" w:cstheme="minorHAnsi"/>
          <w:szCs w:val="22"/>
          <w:lang w:eastAsia="pt-BR"/>
        </w:rPr>
        <w:t>-CAU/RS</w:t>
      </w:r>
      <w:r>
        <w:rPr>
          <w:rFonts w:asciiTheme="minorHAnsi" w:hAnsiTheme="minorHAnsi" w:cstheme="minorHAnsi"/>
          <w:szCs w:val="22"/>
          <w:lang w:eastAsia="pt-BR"/>
        </w:rPr>
        <w:t xml:space="preserve">, que propôs encaminhar </w:t>
      </w:r>
      <w:r w:rsidRPr="00CB0E4D">
        <w:rPr>
          <w:rFonts w:asciiTheme="minorHAnsi" w:hAnsiTheme="minorHAnsi" w:cstheme="minorHAnsi"/>
          <w:szCs w:val="22"/>
          <w:lang w:eastAsia="pt-BR"/>
        </w:rPr>
        <w:t>ao CAU/BR</w:t>
      </w:r>
      <w:r>
        <w:rPr>
          <w:rFonts w:asciiTheme="minorHAnsi" w:hAnsiTheme="minorHAnsi" w:cstheme="minorHAnsi"/>
          <w:szCs w:val="22"/>
          <w:lang w:eastAsia="pt-BR"/>
        </w:rPr>
        <w:t>,</w:t>
      </w:r>
      <w:r w:rsidR="004B0B37" w:rsidRPr="004B0B37">
        <w:rPr>
          <w:rFonts w:asciiTheme="minorHAnsi" w:hAnsiTheme="minorHAnsi" w:cstheme="minorHAnsi"/>
          <w:szCs w:val="22"/>
          <w:lang w:eastAsia="pt-BR"/>
        </w:rPr>
        <w:t xml:space="preserve"> </w:t>
      </w:r>
      <w:r w:rsidR="00CC31B1">
        <w:rPr>
          <w:rFonts w:asciiTheme="minorHAnsi" w:hAnsiTheme="minorHAnsi" w:cstheme="minorHAnsi"/>
          <w:szCs w:val="22"/>
          <w:lang w:eastAsia="pt-BR"/>
        </w:rPr>
        <w:t xml:space="preserve">consulta quanto ao </w:t>
      </w:r>
      <w:r w:rsidR="00CC31B1" w:rsidRPr="00CC31B1">
        <w:rPr>
          <w:rFonts w:asciiTheme="minorHAnsi" w:hAnsiTheme="minorHAnsi" w:cstheme="minorHAnsi"/>
          <w:szCs w:val="22"/>
          <w:lang w:eastAsia="pt-BR"/>
        </w:rPr>
        <w:t>entendimento acerca da data de vencimento das multas de fiscalização devidas pelos arquitetos e urbanistas e pelas pessoas jurídicas, para fins de aplicação de correção/atualização monetária (</w:t>
      </w:r>
      <w:r w:rsidR="00CC31B1">
        <w:rPr>
          <w:rFonts w:asciiTheme="minorHAnsi" w:hAnsiTheme="minorHAnsi" w:cstheme="minorHAnsi"/>
          <w:szCs w:val="22"/>
          <w:lang w:eastAsia="pt-BR"/>
        </w:rPr>
        <w:t>juros de mora) e multa de mora, dentre outras providências.</w:t>
      </w:r>
    </w:p>
    <w:p w:rsidR="00A5451E" w:rsidRDefault="00A5451E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507DD9" w:rsidRPr="009116E7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507DD9" w:rsidRPr="009116E7" w:rsidRDefault="004F4077">
      <w:pPr>
        <w:tabs>
          <w:tab w:val="left" w:pos="1418"/>
        </w:tabs>
        <w:jc w:val="both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ab/>
      </w:r>
    </w:p>
    <w:p w:rsidR="00217A10" w:rsidRDefault="002B3C1D" w:rsidP="00217A10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Determinar o </w:t>
      </w:r>
      <w:r w:rsidR="00217A10">
        <w:rPr>
          <w:rFonts w:asciiTheme="minorHAnsi" w:hAnsiTheme="minorHAnsi" w:cstheme="minorHAnsi"/>
        </w:rPr>
        <w:t>encaminhamento da presente deliberação, ao CAU/BR, juntamente com a O</w:t>
      </w:r>
      <w:r w:rsidR="00217A10" w:rsidRPr="00BF5712">
        <w:rPr>
          <w:rFonts w:asciiTheme="minorHAnsi" w:hAnsiTheme="minorHAnsi" w:cstheme="minorHAnsi"/>
        </w:rPr>
        <w:t>rientação Jurídica nº 002/2021, emanada pela Assessoria Jurídica do CAU/RS</w:t>
      </w:r>
      <w:r w:rsidR="00217A10">
        <w:rPr>
          <w:rFonts w:asciiTheme="minorHAnsi" w:hAnsiTheme="minorHAnsi" w:cstheme="minorHAnsi"/>
        </w:rPr>
        <w:t>, em anexo;</w:t>
      </w:r>
    </w:p>
    <w:p w:rsidR="00217A10" w:rsidRDefault="00217A10" w:rsidP="00217A10">
      <w:pPr>
        <w:pStyle w:val="PargrafodaLista"/>
        <w:jc w:val="both"/>
        <w:rPr>
          <w:rFonts w:asciiTheme="minorHAnsi" w:hAnsiTheme="minorHAnsi" w:cstheme="minorHAnsi"/>
        </w:rPr>
      </w:pPr>
    </w:p>
    <w:p w:rsidR="00152CBB" w:rsidRDefault="00217A10" w:rsidP="00152CB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17A10">
        <w:rPr>
          <w:rFonts w:asciiTheme="minorHAnsi" w:hAnsiTheme="minorHAnsi" w:cstheme="minorHAnsi"/>
        </w:rPr>
        <w:t>Encaminhar</w:t>
      </w:r>
      <w:r>
        <w:rPr>
          <w:rFonts w:asciiTheme="minorHAnsi" w:hAnsiTheme="minorHAnsi" w:cstheme="minorHAnsi"/>
        </w:rPr>
        <w:t xml:space="preserve"> </w:t>
      </w:r>
      <w:r w:rsidRPr="00217A10">
        <w:rPr>
          <w:rFonts w:asciiTheme="minorHAnsi" w:hAnsiTheme="minorHAnsi" w:cstheme="minorHAnsi"/>
        </w:rPr>
        <w:t>ao CAU/BR</w:t>
      </w:r>
      <w:r w:rsidR="00152CB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questionamento acerca da </w:t>
      </w:r>
      <w:r w:rsidR="002B3C1D" w:rsidRPr="00217A10">
        <w:rPr>
          <w:rFonts w:asciiTheme="minorHAnsi" w:hAnsiTheme="minorHAnsi" w:cstheme="minorHAnsi"/>
        </w:rPr>
        <w:t xml:space="preserve">data de vencimento das multas de fiscalização devidas pelos arquitetos e urbanistas e pelas pessoas jurídicas, para fins de aplicação de correção/atualização monetária (juros de mora) e multa de mora, </w:t>
      </w:r>
      <w:r w:rsidR="002B3C1D" w:rsidRPr="00217A10">
        <w:rPr>
          <w:rFonts w:asciiTheme="minorHAnsi" w:hAnsiTheme="minorHAnsi" w:cstheme="minorHAnsi"/>
          <w:b/>
        </w:rPr>
        <w:t xml:space="preserve">ou seja, esclarecer </w:t>
      </w:r>
      <w:r>
        <w:rPr>
          <w:rFonts w:asciiTheme="minorHAnsi" w:hAnsiTheme="minorHAnsi" w:cstheme="minorHAnsi"/>
          <w:b/>
        </w:rPr>
        <w:t xml:space="preserve">qual o posicionamento do CAU/BR quanto a data de vencimento a </w:t>
      </w:r>
      <w:r w:rsidR="002B3C1D" w:rsidRPr="00217A10">
        <w:rPr>
          <w:rFonts w:asciiTheme="minorHAnsi" w:hAnsiTheme="minorHAnsi" w:cstheme="minorHAnsi"/>
          <w:b/>
        </w:rPr>
        <w:t xml:space="preserve">partir </w:t>
      </w:r>
      <w:r>
        <w:rPr>
          <w:rFonts w:asciiTheme="minorHAnsi" w:hAnsiTheme="minorHAnsi" w:cstheme="minorHAnsi"/>
          <w:b/>
        </w:rPr>
        <w:t>da qual incide</w:t>
      </w:r>
      <w:r w:rsidR="002B3C1D" w:rsidRPr="00217A10">
        <w:rPr>
          <w:rFonts w:asciiTheme="minorHAnsi" w:hAnsiTheme="minorHAnsi" w:cstheme="minorHAnsi"/>
          <w:b/>
        </w:rPr>
        <w:t xml:space="preserve"> a correção monetária e a multa de mora</w:t>
      </w:r>
      <w:r w:rsidR="002B3C1D" w:rsidRPr="00217A10">
        <w:rPr>
          <w:rFonts w:asciiTheme="minorHAnsi" w:hAnsiTheme="minorHAnsi" w:cstheme="minorHAnsi"/>
        </w:rPr>
        <w:t>;</w:t>
      </w:r>
    </w:p>
    <w:p w:rsidR="00152CBB" w:rsidRPr="00152CBB" w:rsidRDefault="00152CBB" w:rsidP="00152CBB">
      <w:pPr>
        <w:pStyle w:val="PargrafodaLista"/>
        <w:rPr>
          <w:rFonts w:asciiTheme="minorHAnsi" w:hAnsiTheme="minorHAnsi" w:cstheme="minorHAnsi"/>
        </w:rPr>
      </w:pPr>
    </w:p>
    <w:p w:rsidR="002B3C1D" w:rsidRPr="00152CBB" w:rsidRDefault="00BB35F1" w:rsidP="00152CB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Questionar qual o </w:t>
      </w:r>
      <w:r w:rsidRPr="00152CBB">
        <w:rPr>
          <w:rFonts w:asciiTheme="minorHAnsi" w:hAnsiTheme="minorHAnsi" w:cstheme="minorHAnsi"/>
        </w:rPr>
        <w:t xml:space="preserve">posicionamento do </w:t>
      </w:r>
      <w:r>
        <w:rPr>
          <w:rFonts w:asciiTheme="minorHAnsi" w:hAnsiTheme="minorHAnsi" w:cstheme="minorHAnsi"/>
        </w:rPr>
        <w:t>CAU/BR quanto à</w:t>
      </w:r>
      <w:r w:rsidR="002B3C1D" w:rsidRPr="00152CBB">
        <w:rPr>
          <w:rFonts w:asciiTheme="minorHAnsi" w:hAnsiTheme="minorHAnsi" w:cstheme="minorHAnsi"/>
        </w:rPr>
        <w:t xml:space="preserve"> cobrança de multa de mora nas multas de fiscalização devidas pelos arquitetos e urbanistas e pelas pessoas jurídicas, mesmo após o trânsito em julgado</w:t>
      </w:r>
      <w:r>
        <w:rPr>
          <w:rFonts w:asciiTheme="minorHAnsi" w:hAnsiTheme="minorHAnsi" w:cstheme="minorHAnsi"/>
        </w:rPr>
        <w:t>;</w:t>
      </w:r>
    </w:p>
    <w:p w:rsidR="002B3C1D" w:rsidRPr="00BF5712" w:rsidRDefault="002B3C1D" w:rsidP="002B3C1D">
      <w:pPr>
        <w:pStyle w:val="PargrafodaLista"/>
        <w:rPr>
          <w:rFonts w:asciiTheme="minorHAnsi" w:hAnsiTheme="minorHAnsi" w:cstheme="minorHAnsi"/>
        </w:rPr>
      </w:pPr>
    </w:p>
    <w:p w:rsidR="00BB35F1" w:rsidRDefault="00BB35F1" w:rsidP="002B3C1D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Homologar o entendimento do CAU/RS, com relação ao tema, baseado no </w:t>
      </w:r>
      <w:r w:rsidR="002B3C1D" w:rsidRPr="00BF5712">
        <w:rPr>
          <w:rFonts w:asciiTheme="minorHAnsi" w:hAnsiTheme="minorHAnsi" w:cstheme="minorHAnsi"/>
        </w:rPr>
        <w:t xml:space="preserve">teor e </w:t>
      </w:r>
      <w:r>
        <w:rPr>
          <w:rFonts w:asciiTheme="minorHAnsi" w:hAnsiTheme="minorHAnsi" w:cstheme="minorHAnsi"/>
        </w:rPr>
        <w:t>n</w:t>
      </w:r>
      <w:r w:rsidR="002B3C1D" w:rsidRPr="00BF5712">
        <w:rPr>
          <w:rFonts w:asciiTheme="minorHAnsi" w:hAnsiTheme="minorHAnsi" w:cstheme="minorHAnsi"/>
        </w:rPr>
        <w:t>a fundamentação</w:t>
      </w:r>
      <w:r>
        <w:rPr>
          <w:rFonts w:asciiTheme="minorHAnsi" w:hAnsiTheme="minorHAnsi" w:cstheme="minorHAnsi"/>
        </w:rPr>
        <w:t>;</w:t>
      </w:r>
    </w:p>
    <w:p w:rsidR="00BB35F1" w:rsidRPr="00BB35F1" w:rsidRDefault="00BB35F1" w:rsidP="00BB35F1">
      <w:pPr>
        <w:pStyle w:val="PargrafodaLista"/>
        <w:rPr>
          <w:rFonts w:asciiTheme="minorHAnsi" w:hAnsiTheme="minorHAnsi" w:cstheme="minorHAnsi"/>
        </w:rPr>
      </w:pPr>
    </w:p>
    <w:p w:rsidR="002B3C1D" w:rsidRDefault="00BB35F1" w:rsidP="002B3C1D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Determinar a </w:t>
      </w:r>
      <w:r w:rsidR="002B3C1D" w:rsidRPr="00BF5712">
        <w:rPr>
          <w:rFonts w:asciiTheme="minorHAnsi" w:hAnsiTheme="minorHAnsi" w:cstheme="minorHAnsi"/>
        </w:rPr>
        <w:t xml:space="preserve">aplicação </w:t>
      </w:r>
      <w:r>
        <w:rPr>
          <w:rFonts w:asciiTheme="minorHAnsi" w:hAnsiTheme="minorHAnsi" w:cstheme="minorHAnsi"/>
        </w:rPr>
        <w:t xml:space="preserve">dos preceitos </w:t>
      </w:r>
      <w:r w:rsidR="002B3C1D" w:rsidRPr="00BF5712">
        <w:rPr>
          <w:rFonts w:asciiTheme="minorHAnsi" w:hAnsiTheme="minorHAnsi" w:cstheme="minorHAnsi"/>
        </w:rPr>
        <w:t>da Orientação Jurídica nº 002/2021</w:t>
      </w:r>
      <w:r>
        <w:rPr>
          <w:rFonts w:asciiTheme="minorHAnsi" w:hAnsiTheme="minorHAnsi" w:cstheme="minorHAnsi"/>
        </w:rPr>
        <w:t>,</w:t>
      </w:r>
      <w:r w:rsidR="002B3C1D" w:rsidRPr="00BF5712">
        <w:rPr>
          <w:rFonts w:asciiTheme="minorHAnsi" w:hAnsiTheme="minorHAnsi" w:cstheme="minorHAnsi"/>
        </w:rPr>
        <w:t xml:space="preserve"> no âmbito do CAU/RS, enquanto não sobrevenha o posicionamento do CAU/BR</w:t>
      </w:r>
      <w:r w:rsidR="002B3C1D">
        <w:rPr>
          <w:rFonts w:asciiTheme="minorHAnsi" w:hAnsiTheme="minorHAnsi" w:cstheme="minorHAnsi"/>
        </w:rPr>
        <w:t>; e</w:t>
      </w:r>
    </w:p>
    <w:p w:rsidR="003A6EE1" w:rsidRPr="003A6EE1" w:rsidRDefault="003A6EE1" w:rsidP="003A6EE1">
      <w:pPr>
        <w:ind w:left="720"/>
        <w:jc w:val="both"/>
        <w:rPr>
          <w:sz w:val="28"/>
        </w:rPr>
      </w:pPr>
      <w:bookmarkStart w:id="6" w:name="__DdeLink__469_3671149116"/>
    </w:p>
    <w:p w:rsidR="00507DD9" w:rsidRPr="009116E7" w:rsidRDefault="00EC4204" w:rsidP="00766FE1">
      <w:pPr>
        <w:numPr>
          <w:ilvl w:val="0"/>
          <w:numId w:val="4"/>
        </w:numPr>
        <w:jc w:val="both"/>
        <w:rPr>
          <w:sz w:val="28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Encaminhar </w:t>
      </w:r>
      <w:r w:rsidR="003A6EE1">
        <w:rPr>
          <w:rFonts w:asciiTheme="minorHAnsi" w:hAnsiTheme="minorHAnsi" w:cstheme="minorHAnsi"/>
          <w:szCs w:val="22"/>
          <w:lang w:eastAsia="pt-BR"/>
        </w:rPr>
        <w:t xml:space="preserve">a presente deliberação, </w:t>
      </w:r>
      <w:r>
        <w:rPr>
          <w:rFonts w:asciiTheme="minorHAnsi" w:hAnsiTheme="minorHAnsi" w:cstheme="minorHAnsi"/>
          <w:szCs w:val="22"/>
          <w:lang w:eastAsia="pt-BR"/>
        </w:rPr>
        <w:t>à Secretaria Geral, para providências</w:t>
      </w:r>
      <w:r w:rsidR="003A6EE1">
        <w:rPr>
          <w:rFonts w:asciiTheme="minorHAnsi" w:hAnsiTheme="minorHAnsi" w:cstheme="minorHAnsi"/>
          <w:szCs w:val="22"/>
          <w:lang w:eastAsia="pt-BR"/>
        </w:rPr>
        <w:t xml:space="preserve"> necessárias</w:t>
      </w:r>
      <w:r w:rsidR="004F4077" w:rsidRPr="009116E7">
        <w:rPr>
          <w:rFonts w:asciiTheme="minorHAnsi" w:hAnsiTheme="minorHAnsi" w:cstheme="minorHAnsi"/>
          <w:szCs w:val="22"/>
          <w:lang w:eastAsia="pt-BR"/>
        </w:rPr>
        <w:t>.</w:t>
      </w:r>
      <w:bookmarkEnd w:id="6"/>
    </w:p>
    <w:p w:rsidR="00507DD9" w:rsidRPr="009116E7" w:rsidRDefault="00507DD9">
      <w:pPr>
        <w:jc w:val="both"/>
        <w:rPr>
          <w:rFonts w:asciiTheme="minorHAnsi" w:hAnsiTheme="minorHAnsi" w:cstheme="minorHAnsi"/>
        </w:rPr>
      </w:pPr>
    </w:p>
    <w:p w:rsidR="00BB35F1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BB35F1" w:rsidRPr="009116E7" w:rsidRDefault="00BB35F1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DD7C8E" w:rsidRPr="006203A7" w:rsidRDefault="00DD7C8E" w:rsidP="00DD7C8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 xml:space="preserve">Com 18 (dezoito) votos favoráveis, </w:t>
      </w:r>
      <w:proofErr w:type="gramStart"/>
      <w:r w:rsidRPr="006203A7">
        <w:rPr>
          <w:rFonts w:asciiTheme="minorHAnsi" w:hAnsiTheme="minorHAnsi" w:cstheme="minorHAnsi"/>
          <w:szCs w:val="22"/>
          <w:lang w:eastAsia="pt-BR"/>
        </w:rPr>
        <w:t>dos(</w:t>
      </w:r>
      <w:proofErr w:type="gramEnd"/>
      <w:r w:rsidRPr="006203A7">
        <w:rPr>
          <w:rFonts w:asciiTheme="minorHAnsi" w:hAnsiTheme="minorHAnsi" w:cstheme="minorHAnsi"/>
          <w:szCs w:val="22"/>
          <w:lang w:eastAsia="pt-BR"/>
        </w:rPr>
        <w:t>as) conselheiros(as) Andréa Larruscahim Hamilton Ilha, Carlos Eduardo Iponema Costa, Carlos Eduardo Mesquita Pedone, Débora Francele Rodrigues da Silva, Deise Flores Santos, Denise dos Santos Simões, Evelise Jaime de Menezes, Fabio Muller</w:t>
      </w:r>
    </w:p>
    <w:p w:rsidR="00DD7C8E" w:rsidRPr="006203A7" w:rsidRDefault="00DD7C8E" w:rsidP="00DD7C8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 xml:space="preserve">Fábio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Zatti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 xml:space="preserve">, Fausto Henrique Steffen, Gislaine Vargas Saibro, Ingrid Louise de Souza Dahm, Lidia Glacir Gomes Rodrigues, Marcia Elizabeth Martins, Orildes Tres, Rinaldo Ferreira Barbosa, Rodrigo Spinelli e Silvia Monteiro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 xml:space="preserve">; e 03 (três) ausências, das conselheiras Aline Pedroso da Croce, Letícia Kauer e Magali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>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ED7FDA" w:rsidRPr="009116E7" w:rsidRDefault="00ED7FDA" w:rsidP="00ED7FD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9116E7">
        <w:rPr>
          <w:rFonts w:asciiTheme="minorHAnsi" w:hAnsiTheme="minorHAnsi" w:cstheme="minorHAnsi"/>
        </w:rPr>
        <w:t xml:space="preserve">Porto Alegre – RS, </w:t>
      </w:r>
      <w:r w:rsidR="00EC4204">
        <w:rPr>
          <w:rFonts w:asciiTheme="minorHAnsi" w:hAnsiTheme="minorHAnsi" w:cstheme="minorHAnsi"/>
        </w:rPr>
        <w:t xml:space="preserve">18 </w:t>
      </w:r>
      <w:r w:rsidRPr="009116E7">
        <w:rPr>
          <w:rFonts w:asciiTheme="minorHAnsi" w:hAnsiTheme="minorHAnsi" w:cstheme="minorHAnsi"/>
        </w:rPr>
        <w:t xml:space="preserve">de </w:t>
      </w:r>
      <w:r w:rsidR="00EC4204">
        <w:rPr>
          <w:rFonts w:asciiTheme="minorHAnsi" w:hAnsiTheme="minorHAnsi" w:cstheme="minorHAnsi"/>
        </w:rPr>
        <w:t xml:space="preserve">março </w:t>
      </w:r>
      <w:r w:rsidRPr="009116E7">
        <w:rPr>
          <w:rFonts w:asciiTheme="minorHAnsi" w:hAnsiTheme="minorHAnsi" w:cstheme="minorHAnsi"/>
        </w:rPr>
        <w:t>de 2022.</w:t>
      </w:r>
    </w:p>
    <w:p w:rsidR="00507DD9" w:rsidRPr="009116E7" w:rsidRDefault="00507DD9" w:rsidP="00ED7FDA">
      <w:pPr>
        <w:pStyle w:val="PargrafodaLista"/>
        <w:ind w:left="0" w:right="133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DD7C8E" w:rsidRDefault="004F4077">
      <w:pPr>
        <w:tabs>
          <w:tab w:val="left" w:pos="8647"/>
        </w:tabs>
        <w:jc w:val="center"/>
        <w:rPr>
          <w:rFonts w:asciiTheme="minorHAnsi" w:hAnsiTheme="minorHAnsi" w:cstheme="minorHAnsi"/>
          <w:b/>
          <w:bCs/>
        </w:rPr>
      </w:pPr>
      <w:r w:rsidRPr="00DD7C8E">
        <w:rPr>
          <w:rFonts w:asciiTheme="minorHAnsi" w:hAnsiTheme="minorHAnsi" w:cstheme="minorHAnsi"/>
          <w:b/>
          <w:bCs/>
        </w:rPr>
        <w:t xml:space="preserve">TIAGO HOLZMANN DA SILVA </w:t>
      </w:r>
    </w:p>
    <w:p w:rsidR="00507DD9" w:rsidRPr="009116E7" w:rsidRDefault="004F4077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9116E7">
        <w:rPr>
          <w:rFonts w:asciiTheme="minorHAnsi" w:hAnsiTheme="minorHAnsi" w:cstheme="minorHAnsi"/>
          <w:bCs/>
          <w:iCs/>
        </w:rPr>
        <w:t>Presidente do CAU/RS</w:t>
      </w:r>
      <w:r w:rsidRPr="009116E7">
        <w:rPr>
          <w:rFonts w:asciiTheme="minorHAnsi" w:hAnsiTheme="minorHAnsi" w:cstheme="minorHAnsi"/>
          <w:bCs/>
          <w:iCs/>
        </w:rPr>
        <w:br/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340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130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4B0B37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EC420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="00BB3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5B24CC" w:rsidRPr="005B24CC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1483815</w:t>
            </w:r>
            <w:r w:rsidR="003A6EE1" w:rsidRPr="003A6EE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DD7C8E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DD7C8E" w:rsidRPr="006203A7" w:rsidRDefault="00DD7C8E" w:rsidP="00DD7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DD7C8E" w:rsidRPr="009116E7" w:rsidTr="0063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Débora Francele Rodrigues da Silva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Fábio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63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DD7C8E" w:rsidRPr="009116E7" w:rsidTr="00631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DD7C8E" w:rsidRPr="006203A7" w:rsidRDefault="00DD7C8E" w:rsidP="00DD7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3809" w:type="dxa"/>
            <w:vAlign w:val="center"/>
          </w:tcPr>
          <w:p w:rsidR="00DD7C8E" w:rsidRPr="006203A7" w:rsidRDefault="00DD7C8E" w:rsidP="00DD7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DD7C8E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DD7C8E" w:rsidRPr="006203A7" w:rsidRDefault="00DD7C8E" w:rsidP="00DD7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DD7C8E" w:rsidRPr="006203A7" w:rsidRDefault="00DD7C8E" w:rsidP="00DD7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DD7C8E" w:rsidRPr="006203A7" w:rsidRDefault="00DD7C8E" w:rsidP="00DD7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DD7C8E" w:rsidRPr="006203A7" w:rsidRDefault="00DD7C8E" w:rsidP="00DD7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D7C8E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D7C8E" w:rsidRPr="001E266E" w:rsidRDefault="00DD7C8E" w:rsidP="00DD7C8E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  <w:vAlign w:val="center"/>
          </w:tcPr>
          <w:p w:rsidR="00DD7C8E" w:rsidRPr="006203A7" w:rsidRDefault="00DD7C8E" w:rsidP="00DD7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665E9D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130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18/03/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5B24C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1426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5B24CC" w:rsidRPr="005B24CC">
              <w:rPr>
                <w:rFonts w:asciiTheme="minorHAnsi" w:hAnsiTheme="minorHAnsi" w:cstheme="minorHAnsi"/>
                <w:sz w:val="20"/>
                <w:szCs w:val="22"/>
              </w:rPr>
              <w:t>Cobrança de correção monetária, juros e multa de mora em relação aos débitos não pagos no prazo</w:t>
            </w:r>
            <w:bookmarkStart w:id="7" w:name="_GoBack"/>
            <w:bookmarkEnd w:id="7"/>
            <w:r w:rsidR="005B24CC" w:rsidRPr="005B24CC">
              <w:rPr>
                <w:rFonts w:asciiTheme="minorHAnsi" w:hAnsiTheme="minorHAnsi" w:cstheme="minorHAnsi"/>
                <w:sz w:val="20"/>
                <w:szCs w:val="22"/>
              </w:rPr>
              <w:t>, conforme a Resolução nº 193, do CAU/BR</w:t>
            </w:r>
            <w:r w:rsidR="004B0B37">
              <w:rPr>
                <w:rFonts w:asciiTheme="minorHAnsi" w:hAnsiTheme="minorHAnsi" w:cstheme="minorHAnsi"/>
                <w:i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votaçã</w:t>
            </w:r>
            <w:r w:rsidRPr="00DD7C8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o: </w:t>
            </w:r>
            <w:r w:rsidR="009116E7" w:rsidRPr="00DD7C8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DD7C8E" w:rsidRPr="00DD7C8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="009116E7" w:rsidRPr="00DD7C8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DD7C8E" w:rsidRPr="00DD7C8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="009116E7" w:rsidRPr="00DD7C8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(21)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4F407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07DD9" w:rsidRPr="009116E7" w:rsidRDefault="00507DD9">
      <w:pPr>
        <w:jc w:val="both"/>
      </w:pPr>
    </w:p>
    <w:sectPr w:rsidR="00507DD9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D7C8E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D7C8E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DD7C8E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D7C8E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Pr="004B0B37" w:rsidRDefault="004F4077" w:rsidP="004B0B3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-885190</wp:posOffset>
          </wp:positionV>
          <wp:extent cx="7569835" cy="974725"/>
          <wp:effectExtent l="0" t="0" r="0" b="0"/>
          <wp:wrapNone/>
          <wp:docPr id="5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9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F7001"/>
    <w:rsid w:val="00152CBB"/>
    <w:rsid w:val="0018043D"/>
    <w:rsid w:val="0020210B"/>
    <w:rsid w:val="00217A10"/>
    <w:rsid w:val="00225E96"/>
    <w:rsid w:val="00292FD6"/>
    <w:rsid w:val="002B3C1D"/>
    <w:rsid w:val="003A6EE1"/>
    <w:rsid w:val="00406DDD"/>
    <w:rsid w:val="00410EDA"/>
    <w:rsid w:val="004B0B37"/>
    <w:rsid w:val="004B0F35"/>
    <w:rsid w:val="004F4077"/>
    <w:rsid w:val="00507DD9"/>
    <w:rsid w:val="005B24CC"/>
    <w:rsid w:val="00665E9D"/>
    <w:rsid w:val="00735525"/>
    <w:rsid w:val="0074549A"/>
    <w:rsid w:val="00766FE1"/>
    <w:rsid w:val="009116E7"/>
    <w:rsid w:val="00A5451E"/>
    <w:rsid w:val="00BB35F1"/>
    <w:rsid w:val="00CC31B1"/>
    <w:rsid w:val="00CD4B3C"/>
    <w:rsid w:val="00DD7C8E"/>
    <w:rsid w:val="00DE316E"/>
    <w:rsid w:val="00E11DFF"/>
    <w:rsid w:val="00EC4204"/>
    <w:rsid w:val="00E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0BFF-78F3-4803-A7D5-FDF2DACC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1271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6</cp:revision>
  <cp:lastPrinted>2021-11-22T12:22:00Z</cp:lastPrinted>
  <dcterms:created xsi:type="dcterms:W3CDTF">2022-03-15T13:58:00Z</dcterms:created>
  <dcterms:modified xsi:type="dcterms:W3CDTF">2022-03-21T15:35:00Z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