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6E3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6E30DD">
              <w:rPr>
                <w:rFonts w:asciiTheme="minorHAnsi" w:hAnsiTheme="minorHAnsi" w:cstheme="minorHAnsi"/>
              </w:rPr>
              <w:t>1431435</w:t>
            </w:r>
            <w:r w:rsidR="001C7011">
              <w:rPr>
                <w:rFonts w:asciiTheme="minorHAnsi" w:hAnsiTheme="minorHAnsi" w:cstheme="minorHAnsi"/>
              </w:rPr>
              <w:t>/2021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1C7011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Administrativa e Financeira do </w:t>
            </w:r>
            <w:r w:rsidR="003B21FB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EF7A85" w:rsidP="006E30DD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hAnsi="Calibri" w:cs="Calibri"/>
                <w:lang w:eastAsia="pt-BR"/>
              </w:rPr>
              <w:t>Transposições</w:t>
            </w:r>
            <w:r w:rsidRPr="00EA1C67">
              <w:rPr>
                <w:rFonts w:ascii="Calibri" w:hAnsi="Calibri" w:cs="Calibri"/>
                <w:lang w:eastAsia="pt-BR"/>
              </w:rPr>
              <w:t xml:space="preserve"> Orçamentária</w:t>
            </w:r>
            <w:r>
              <w:rPr>
                <w:rFonts w:ascii="Calibri" w:hAnsi="Calibri" w:cs="Calibri"/>
                <w:lang w:eastAsia="pt-BR"/>
              </w:rPr>
              <w:t>s – Plano de Ação 2021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1E2F43">
        <w:rPr>
          <w:rFonts w:asciiTheme="minorHAnsi" w:hAnsiTheme="minorHAnsi" w:cstheme="minorHAnsi"/>
          <w:lang w:eastAsia="pt-BR"/>
        </w:rPr>
        <w:t>13</w:t>
      </w:r>
      <w:r w:rsidR="006E30DD">
        <w:rPr>
          <w:rFonts w:asciiTheme="minorHAnsi" w:hAnsiTheme="minorHAnsi" w:cstheme="minorHAnsi"/>
          <w:lang w:eastAsia="pt-BR"/>
        </w:rPr>
        <w:t>9</w:t>
      </w:r>
      <w:r w:rsidR="00EF7A85">
        <w:rPr>
          <w:rFonts w:asciiTheme="minorHAnsi" w:hAnsiTheme="minorHAnsi" w:cstheme="minorHAnsi"/>
          <w:lang w:eastAsia="pt-BR"/>
        </w:rPr>
        <w:t>1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F7A85" w:rsidRDefault="006E30D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EF7A85">
        <w:rPr>
          <w:rFonts w:asciiTheme="minorHAnsi" w:hAnsiTheme="minorHAnsi" w:cstheme="minorHAnsi"/>
          <w:sz w:val="20"/>
          <w:szCs w:val="20"/>
        </w:rPr>
        <w:t xml:space="preserve">Homologa </w:t>
      </w:r>
      <w:r w:rsidR="00EF7A85" w:rsidRPr="00EF7A85">
        <w:rPr>
          <w:rFonts w:asciiTheme="minorHAnsi" w:hAnsiTheme="minorHAnsi" w:cstheme="minorHAnsi"/>
          <w:sz w:val="20"/>
          <w:szCs w:val="20"/>
        </w:rPr>
        <w:t>transposições de orçamento</w:t>
      </w:r>
      <w:r w:rsidR="00EF7A85">
        <w:rPr>
          <w:rFonts w:asciiTheme="minorHAnsi" w:hAnsiTheme="minorHAnsi" w:cstheme="minorHAnsi"/>
          <w:sz w:val="20"/>
          <w:szCs w:val="20"/>
        </w:rPr>
        <w:t>,</w:t>
      </w:r>
      <w:r w:rsidR="00EF7A85" w:rsidRPr="00EF7A85">
        <w:rPr>
          <w:rFonts w:asciiTheme="minorHAnsi" w:hAnsiTheme="minorHAnsi" w:cstheme="minorHAnsi"/>
          <w:sz w:val="20"/>
          <w:szCs w:val="20"/>
        </w:rPr>
        <w:t xml:space="preserve"> entre diferentes centros de custos</w:t>
      </w:r>
      <w:r w:rsidR="00EF7A85">
        <w:rPr>
          <w:rFonts w:asciiTheme="minorHAnsi" w:hAnsiTheme="minorHAnsi" w:cstheme="minorHAnsi"/>
          <w:sz w:val="20"/>
          <w:szCs w:val="20"/>
        </w:rPr>
        <w:t>,</w:t>
      </w:r>
      <w:r w:rsidR="00EF7A85" w:rsidRPr="00EF7A85">
        <w:rPr>
          <w:rFonts w:asciiTheme="minorHAnsi" w:hAnsiTheme="minorHAnsi" w:cstheme="minorHAnsi"/>
          <w:sz w:val="20"/>
          <w:szCs w:val="20"/>
        </w:rPr>
        <w:t xml:space="preserve"> do Plano de Ação de 2021</w:t>
      </w:r>
      <w:r w:rsidR="00355428" w:rsidRPr="00EF7A85">
        <w:rPr>
          <w:rFonts w:asciiTheme="minorHAnsi" w:hAnsiTheme="minorHAnsi" w:cstheme="minorHAnsi"/>
          <w:sz w:val="20"/>
          <w:szCs w:val="20"/>
        </w:rPr>
        <w:t>.</w:t>
      </w:r>
    </w:p>
    <w:p w:rsidR="00F73BFC" w:rsidRPr="000245F1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E34065">
        <w:rPr>
          <w:rFonts w:asciiTheme="minorHAnsi" w:hAnsiTheme="minorHAnsi" w:cstheme="minorHAnsi"/>
          <w:lang w:eastAsia="pt-BR"/>
        </w:rPr>
        <w:t>17</w:t>
      </w:r>
      <w:r w:rsidR="000245F1">
        <w:rPr>
          <w:rFonts w:asciiTheme="minorHAnsi" w:hAnsiTheme="minorHAnsi" w:cstheme="minorHAnsi"/>
          <w:lang w:eastAsia="pt-BR"/>
        </w:rPr>
        <w:t xml:space="preserve"> de </w:t>
      </w:r>
      <w:r w:rsidR="00E34065">
        <w:rPr>
          <w:rFonts w:asciiTheme="minorHAnsi" w:hAnsiTheme="minorHAnsi" w:cstheme="minorHAnsi"/>
          <w:lang w:eastAsia="pt-BR"/>
        </w:rPr>
        <w:t xml:space="preserve">dezembro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EF7A85" w:rsidRPr="00EA1C67" w:rsidRDefault="00EF7A85" w:rsidP="00EF7A85">
      <w:pPr>
        <w:pStyle w:val="PargrafodaLista"/>
        <w:ind w:left="0"/>
        <w:jc w:val="both"/>
        <w:rPr>
          <w:rFonts w:ascii="Calibri" w:hAnsi="Calibri" w:cs="Calibri"/>
          <w:lang w:eastAsia="pt-BR"/>
        </w:rPr>
      </w:pPr>
      <w:r w:rsidRPr="00EA1C67">
        <w:rPr>
          <w:rFonts w:ascii="Calibri" w:hAnsi="Calibri" w:cs="Calibr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EF7A85" w:rsidRPr="00EA1C67" w:rsidRDefault="00EF7A85" w:rsidP="00EF7A85">
      <w:pPr>
        <w:pStyle w:val="PargrafodaLista"/>
        <w:ind w:left="0"/>
        <w:jc w:val="both"/>
        <w:rPr>
          <w:rFonts w:ascii="Calibri" w:hAnsi="Calibri" w:cs="Calibri"/>
          <w:lang w:eastAsia="pt-BR"/>
        </w:rPr>
      </w:pPr>
    </w:p>
    <w:p w:rsidR="00EF7A85" w:rsidRPr="00EA1C67" w:rsidRDefault="00EF7A85" w:rsidP="00EF7A85">
      <w:pPr>
        <w:jc w:val="both"/>
        <w:rPr>
          <w:rFonts w:ascii="Calibri" w:hAnsi="Calibri" w:cs="Calibri"/>
        </w:rPr>
      </w:pPr>
      <w:r w:rsidRPr="00EA1C67">
        <w:rPr>
          <w:rFonts w:ascii="Calibri" w:hAnsi="Calibri" w:cs="Calibri"/>
          <w:lang w:eastAsia="pt-BR"/>
        </w:rPr>
        <w:t>Considerando que o inciso</w:t>
      </w:r>
      <w:r w:rsidRPr="00EA1C67">
        <w:rPr>
          <w:rFonts w:ascii="Calibri" w:hAnsi="Calibri" w:cs="Calibri"/>
        </w:rPr>
        <w:t xml:space="preserve"> XXVI</w:t>
      </w:r>
      <w:r w:rsidRPr="00EA1C67">
        <w:rPr>
          <w:rFonts w:ascii="Calibri" w:hAnsi="Calibri" w:cs="Calibri"/>
          <w:lang w:eastAsia="pt-BR"/>
        </w:rPr>
        <w:t>, art. 29, do Regimento Interno do CAU/RS, prevê, entre as competências do Plenário do CAU/RS,</w:t>
      </w:r>
      <w:r w:rsidRPr="00EA1C67">
        <w:rPr>
          <w:rFonts w:ascii="Calibri" w:hAnsi="Calibri" w:cs="Calibri"/>
        </w:rPr>
        <w:t xml:space="preserve"> apreciar e deliberar sobre os planos de ação e orçamento do CAU/RS, observando o Planejamento Estratégico do CAU e o disposto no art. 34 da Lei n° 12.378, de 31 de dezembro de 2010 e as diretrizes estabelecidas;</w:t>
      </w:r>
    </w:p>
    <w:p w:rsidR="00EF7A85" w:rsidRPr="00EA1C67" w:rsidRDefault="00EF7A85" w:rsidP="00EF7A85">
      <w:pPr>
        <w:jc w:val="both"/>
        <w:rPr>
          <w:rFonts w:ascii="Calibri" w:hAnsi="Calibri" w:cs="Calibri"/>
        </w:rPr>
      </w:pPr>
    </w:p>
    <w:p w:rsidR="00EF7A85" w:rsidRPr="00EA1C67" w:rsidRDefault="00EF7A85" w:rsidP="00EF7A85">
      <w:pPr>
        <w:jc w:val="both"/>
        <w:rPr>
          <w:rFonts w:ascii="Calibri" w:hAnsi="Calibri" w:cs="Calibri"/>
        </w:rPr>
      </w:pPr>
      <w:r w:rsidRPr="00EA1C67">
        <w:rPr>
          <w:rFonts w:ascii="Calibri" w:hAnsi="Calibri" w:cs="Calibri"/>
          <w:lang w:eastAsia="pt-BR"/>
        </w:rPr>
        <w:t>Considerando que o inciso</w:t>
      </w:r>
      <w:r w:rsidRPr="00EA1C67">
        <w:rPr>
          <w:rFonts w:ascii="Calibri" w:hAnsi="Calibri" w:cs="Calibri"/>
        </w:rPr>
        <w:t xml:space="preserve"> XXX</w:t>
      </w:r>
      <w:r w:rsidRPr="00EA1C67">
        <w:rPr>
          <w:rFonts w:ascii="Calibri" w:hAnsi="Calibri" w:cs="Calibri"/>
          <w:lang w:eastAsia="pt-BR"/>
        </w:rPr>
        <w:t>, art. 29, do Regimento Interno do CAU/RS, prevê, entre as competências do Plenário do CAU/RS,</w:t>
      </w:r>
      <w:r w:rsidRPr="00EA1C67">
        <w:rPr>
          <w:rFonts w:ascii="Calibri" w:hAnsi="Calibri" w:cs="Calibri"/>
        </w:rPr>
        <w:t xml:space="preserve"> apreciar e deliberar sobre reformulações orçamentárias, aberturas de créditos suplementares e transferências de recursos financeiros no CAU/RS;</w:t>
      </w:r>
    </w:p>
    <w:p w:rsidR="00EF7A85" w:rsidRPr="00EA1C67" w:rsidRDefault="00EF7A85" w:rsidP="00EF7A85">
      <w:pPr>
        <w:pStyle w:val="PargrafodaLista"/>
        <w:ind w:left="0"/>
        <w:jc w:val="both"/>
        <w:rPr>
          <w:rFonts w:ascii="Calibri" w:hAnsi="Calibri" w:cs="Calibri"/>
        </w:rPr>
      </w:pPr>
    </w:p>
    <w:p w:rsidR="00EF7A85" w:rsidRPr="00EA1C67" w:rsidRDefault="00EF7A85" w:rsidP="00EF7A85">
      <w:pPr>
        <w:pStyle w:val="PargrafodaLista"/>
        <w:ind w:left="0"/>
        <w:jc w:val="both"/>
        <w:rPr>
          <w:rFonts w:ascii="Calibri" w:hAnsi="Calibri" w:cs="Calibri"/>
        </w:rPr>
      </w:pPr>
      <w:r w:rsidRPr="00EA1C67">
        <w:rPr>
          <w:rFonts w:ascii="Calibri" w:hAnsi="Calibri" w:cs="Calibri"/>
        </w:rPr>
        <w:t xml:space="preserve">Considerando a Deliberação CPFI-CAU/RS nº 038/2021, de </w:t>
      </w:r>
      <w:r>
        <w:rPr>
          <w:rFonts w:ascii="Calibri" w:hAnsi="Calibri" w:cs="Calibri"/>
        </w:rPr>
        <w:t>07</w:t>
      </w:r>
      <w:r w:rsidRPr="00EA1C67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 xml:space="preserve">dezembro </w:t>
      </w:r>
      <w:r w:rsidRPr="00EA1C67">
        <w:rPr>
          <w:rFonts w:ascii="Calibri" w:hAnsi="Calibri" w:cs="Calibri"/>
        </w:rPr>
        <w:t xml:space="preserve">de 2021, que aprovou </w:t>
      </w:r>
      <w:r w:rsidRPr="00EF7A85">
        <w:rPr>
          <w:rFonts w:ascii="Calibri" w:hAnsi="Calibri" w:cs="Calibri"/>
        </w:rPr>
        <w:t>transposições de orçamento, entre diferentes centros de custos, do Plano de Ação de 2021</w:t>
      </w:r>
      <w:r w:rsidRPr="00EA1C67">
        <w:rPr>
          <w:rFonts w:ascii="Calibri" w:hAnsi="Calibri" w:cs="Calibri"/>
        </w:rPr>
        <w:t>;</w:t>
      </w:r>
    </w:p>
    <w:p w:rsidR="006E30DD" w:rsidRPr="00355428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EF7A85" w:rsidRDefault="00EF7A85" w:rsidP="00EF7A85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7E3B53">
        <w:rPr>
          <w:rFonts w:ascii="Calibri" w:hAnsi="Calibri" w:cs="Calibri"/>
        </w:rPr>
        <w:t>Homologar as transposições de orçamento, entre diferentes centros de custos, do Plano de Ação de 2021, conforme detalhamento abaixo</w:t>
      </w:r>
      <w:r w:rsidRPr="007E3B53">
        <w:rPr>
          <w:rFonts w:asciiTheme="minorHAnsi" w:hAnsiTheme="minorHAnsi" w:cstheme="minorHAnsi"/>
        </w:rPr>
        <w:t>:</w:t>
      </w:r>
    </w:p>
    <w:p w:rsidR="007E3B53" w:rsidRPr="007E3B53" w:rsidRDefault="007E3B53" w:rsidP="007E3B53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7E3B53" w:rsidRPr="007E3B53" w:rsidRDefault="007E3B53" w:rsidP="007E3B5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R$ 45.000,00 (quarenta e cinco mil reais) de crédito orçamentário corrente: 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De “Manutenção das atividades da Secretaria Geral da Mesa” – Centro de Custos </w:t>
      </w:r>
      <w:r w:rsidRPr="007E3B53">
        <w:rPr>
          <w:rFonts w:asciiTheme="minorHAnsi" w:hAnsiTheme="minorHAnsi" w:cstheme="minorHAnsi"/>
          <w:color w:val="000000" w:themeColor="text1"/>
        </w:rPr>
        <w:t xml:space="preserve">4.14.01, Conta - </w:t>
      </w:r>
      <w:r w:rsidRPr="007E3B53">
        <w:rPr>
          <w:rFonts w:asciiTheme="minorHAnsi" w:hAnsiTheme="minorHAnsi" w:cstheme="minorHAnsi"/>
        </w:rPr>
        <w:t>6.2.2.1.1.01.01.01.001.001 - Salários</w:t>
      </w:r>
      <w:r w:rsidRPr="007E3B53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lang w:eastAsia="pt-BR"/>
        </w:rPr>
        <w:t>;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  <w:color w:val="201F1E"/>
          <w:shd w:val="clear" w:color="auto" w:fill="FFFFFF"/>
        </w:rPr>
        <w:t xml:space="preserve">Para “Fiscalização Vinculada a Sede” – Centro de </w:t>
      </w:r>
      <w:r w:rsidRPr="007E3B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Custos 4.08.04, Conta </w:t>
      </w:r>
      <w:r w:rsidRPr="007E3B53">
        <w:rPr>
          <w:rFonts w:asciiTheme="minorHAnsi" w:hAnsiTheme="minorHAnsi" w:cstheme="minorHAnsi"/>
        </w:rPr>
        <w:t>6.2.2.1.1.01.01.01.001.001 – Salários</w:t>
      </w:r>
      <w:r w:rsidRPr="007E3B53">
        <w:rPr>
          <w:rFonts w:asciiTheme="minorHAnsi" w:hAnsiTheme="minorHAnsi" w:cstheme="minorHAnsi"/>
          <w:color w:val="201F1E"/>
          <w:shd w:val="clear" w:color="auto" w:fill="FFFFFF"/>
        </w:rPr>
        <w:t xml:space="preserve">;  </w:t>
      </w:r>
    </w:p>
    <w:p w:rsidR="007E3B53" w:rsidRPr="007E3B53" w:rsidRDefault="007E3B53" w:rsidP="007E3B53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</w:rPr>
      </w:pPr>
    </w:p>
    <w:p w:rsidR="007E3B53" w:rsidRPr="007E3B53" w:rsidRDefault="007E3B53" w:rsidP="007E3B5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>R$ 35.000,00 (trinta e cinco mil reais) de crédito orçamentário corrente: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De “Manutenção das atividades da Gerência Financeira” – Centro de Custos </w:t>
      </w:r>
      <w:r w:rsidRPr="007E3B53">
        <w:rPr>
          <w:rFonts w:asciiTheme="minorHAnsi" w:hAnsiTheme="minorHAnsi" w:cstheme="minorHAnsi"/>
          <w:color w:val="000000" w:themeColor="text1"/>
        </w:rPr>
        <w:t xml:space="preserve">4.10.01, Conta - </w:t>
      </w:r>
      <w:r w:rsidRPr="007E3B53">
        <w:rPr>
          <w:rFonts w:asciiTheme="minorHAnsi" w:hAnsiTheme="minorHAnsi" w:cstheme="minorHAnsi"/>
        </w:rPr>
        <w:t>6.2.2.1.1.01.01.01.001.001 - Salários</w:t>
      </w:r>
      <w:r w:rsidRPr="007E3B53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lang w:eastAsia="pt-BR"/>
        </w:rPr>
        <w:t>;</w:t>
      </w:r>
    </w:p>
    <w:p w:rsid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lastRenderedPageBreak/>
        <w:t>Para “</w:t>
      </w:r>
      <w:r w:rsidRPr="007E3B53">
        <w:rPr>
          <w:rFonts w:asciiTheme="minorHAnsi" w:hAnsiTheme="minorHAnsi" w:cstheme="minorHAnsi"/>
          <w:color w:val="201F1E"/>
          <w:shd w:val="clear" w:color="auto" w:fill="FFFFFF"/>
        </w:rPr>
        <w:t>Fiscalização Vinculada a Sede</w:t>
      </w:r>
      <w:r w:rsidRPr="007E3B53">
        <w:rPr>
          <w:rFonts w:asciiTheme="minorHAnsi" w:hAnsiTheme="minorHAnsi" w:cstheme="minorHAnsi"/>
        </w:rPr>
        <w:t xml:space="preserve">” – Centro de Custos 4.08.04, </w:t>
      </w:r>
      <w:r w:rsidRPr="007E3B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Conta </w:t>
      </w:r>
      <w:r w:rsidRPr="007E3B53">
        <w:rPr>
          <w:rFonts w:asciiTheme="minorHAnsi" w:hAnsiTheme="minorHAnsi" w:cstheme="minorHAnsi"/>
        </w:rPr>
        <w:t>6.2.2.1.1.01.01.01.001.001 – Salários;</w:t>
      </w:r>
    </w:p>
    <w:p w:rsidR="007E3B53" w:rsidRPr="007E3B53" w:rsidRDefault="007E3B53" w:rsidP="007E3B53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</w:rPr>
      </w:pPr>
    </w:p>
    <w:p w:rsidR="007E3B53" w:rsidRPr="007E3B53" w:rsidRDefault="007E3B53" w:rsidP="007E3B5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>R$ 25.000,00 (vinte e cinco mil reais) de crédito orçamentário corrente: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De “Manutenção das atividades do Gabinete” Centro de Custos </w:t>
      </w:r>
      <w:r w:rsidRPr="007E3B53">
        <w:rPr>
          <w:rFonts w:asciiTheme="minorHAnsi" w:hAnsiTheme="minorHAnsi" w:cstheme="minorHAnsi"/>
          <w:color w:val="000000" w:themeColor="text1"/>
        </w:rPr>
        <w:t xml:space="preserve">4.15.01, Conta </w:t>
      </w:r>
      <w:r w:rsidRPr="007E3B53">
        <w:rPr>
          <w:rFonts w:asciiTheme="minorHAnsi" w:hAnsiTheme="minorHAnsi" w:cstheme="minorHAnsi"/>
        </w:rPr>
        <w:t>6.2.2.1.1.01.01.01.001.001 – Salários</w:t>
      </w:r>
      <w:r w:rsidRPr="007E3B53">
        <w:rPr>
          <w:rFonts w:asciiTheme="minorHAnsi" w:hAnsiTheme="minorHAnsi" w:cstheme="minorHAnsi"/>
          <w:color w:val="000000" w:themeColor="text1"/>
        </w:rPr>
        <w:t>;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>Para “Manutenção das Atividades da Gerência de Atendimento”</w:t>
      </w:r>
      <w:r w:rsidRPr="007E3B53">
        <w:rPr>
          <w:rFonts w:asciiTheme="minorHAnsi" w:hAnsiTheme="minorHAnsi" w:cstheme="minorHAnsi"/>
          <w:color w:val="FF0000"/>
        </w:rPr>
        <w:t xml:space="preserve"> </w:t>
      </w:r>
      <w:r w:rsidRPr="007E3B53">
        <w:rPr>
          <w:rFonts w:asciiTheme="minorHAnsi" w:hAnsiTheme="minorHAnsi" w:cstheme="minorHAnsi"/>
          <w:color w:val="000000" w:themeColor="text1"/>
        </w:rPr>
        <w:t>-</w:t>
      </w:r>
      <w:r w:rsidRPr="007E3B53">
        <w:rPr>
          <w:rFonts w:asciiTheme="minorHAnsi" w:hAnsiTheme="minorHAnsi" w:cstheme="minorHAnsi"/>
          <w:color w:val="FF0000"/>
        </w:rPr>
        <w:t xml:space="preserve"> </w:t>
      </w:r>
      <w:r w:rsidRPr="007E3B53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lang w:eastAsia="pt-BR"/>
        </w:rPr>
        <w:t xml:space="preserve">Centro de Custos 4.13.01, Conta - </w:t>
      </w:r>
      <w:r w:rsidRPr="007E3B53">
        <w:rPr>
          <w:rFonts w:asciiTheme="minorHAnsi" w:hAnsiTheme="minorHAnsi" w:cstheme="minorHAnsi"/>
        </w:rPr>
        <w:t>6.2.2.1.1.01.01.01.001.001 – Salários;</w:t>
      </w:r>
    </w:p>
    <w:p w:rsidR="007E3B53" w:rsidRPr="007E3B53" w:rsidRDefault="007E3B53" w:rsidP="007E3B53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</w:rPr>
      </w:pPr>
    </w:p>
    <w:p w:rsidR="007E3B53" w:rsidRPr="007E3B53" w:rsidRDefault="007E3B53" w:rsidP="007E3B5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>R$ 15.000,00 (cinco mil reais) de crédito orçamentário corrente: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De “Manutenção das atividades da Gerência Administrativa” Centro de Custos </w:t>
      </w:r>
      <w:r w:rsidRPr="007E3B53">
        <w:rPr>
          <w:rFonts w:asciiTheme="minorHAnsi" w:hAnsiTheme="minorHAnsi" w:cstheme="minorHAnsi"/>
          <w:color w:val="000000" w:themeColor="text1"/>
        </w:rPr>
        <w:t xml:space="preserve">4.07.01, Conta -  </w:t>
      </w:r>
      <w:r w:rsidRPr="007E3B53">
        <w:rPr>
          <w:rFonts w:asciiTheme="minorHAnsi" w:hAnsiTheme="minorHAnsi" w:cstheme="minorHAnsi"/>
        </w:rPr>
        <w:t>6.2.2.1.1.01.01.01.001.001 – Salários</w:t>
      </w:r>
      <w:r w:rsidRPr="007E3B53">
        <w:rPr>
          <w:rFonts w:asciiTheme="minorHAnsi" w:hAnsiTheme="minorHAnsi" w:cstheme="minorHAnsi"/>
          <w:color w:val="000000" w:themeColor="text1"/>
        </w:rPr>
        <w:t>;</w:t>
      </w:r>
    </w:p>
    <w:p w:rsidR="007E3B53" w:rsidRPr="007E3B53" w:rsidRDefault="007E3B53" w:rsidP="007E3B5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E3B53">
        <w:rPr>
          <w:rFonts w:asciiTheme="minorHAnsi" w:hAnsiTheme="minorHAnsi" w:cstheme="minorHAnsi"/>
        </w:rPr>
        <w:t xml:space="preserve">Para “Manutenção das Atividades da Gerência de Atendimento” – Centro de Custos 4.13.01, </w:t>
      </w:r>
      <w:r w:rsidRPr="007E3B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Conta - </w:t>
      </w:r>
      <w:r w:rsidRPr="007E3B53">
        <w:rPr>
          <w:rFonts w:asciiTheme="minorHAnsi" w:hAnsiTheme="minorHAnsi" w:cstheme="minorHAnsi"/>
        </w:rPr>
        <w:t>6.2.2.1.1.01.01.01.001.001 – Salários;</w:t>
      </w:r>
    </w:p>
    <w:p w:rsidR="00EF7A85" w:rsidRPr="007E3B53" w:rsidRDefault="00EF7A85" w:rsidP="007E3B53">
      <w:pPr>
        <w:pStyle w:val="PargrafodaLista"/>
        <w:ind w:left="1440"/>
        <w:jc w:val="both"/>
        <w:rPr>
          <w:rFonts w:asciiTheme="minorHAnsi" w:hAnsiTheme="minorHAnsi" w:cstheme="minorHAnsi"/>
        </w:rPr>
      </w:pPr>
    </w:p>
    <w:p w:rsidR="00355428" w:rsidRPr="007E3B53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7E3B53"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355428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20358C" w:rsidRDefault="0020358C" w:rsidP="0020358C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18</w:t>
      </w:r>
      <w:r w:rsidRPr="002E5721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dezoito</w:t>
      </w:r>
      <w:r w:rsidRPr="002E5721">
        <w:rPr>
          <w:rFonts w:asciiTheme="minorHAnsi" w:hAnsiTheme="minorHAnsi" w:cstheme="minorHAnsi"/>
          <w:lang w:eastAsia="pt-BR"/>
        </w:rPr>
        <w:t xml:space="preserve">) votos favoráveis, das conselheiras Ana Paula Schirmer dos Santos, Evelise Jaime de Menezes, </w:t>
      </w:r>
      <w:r>
        <w:rPr>
          <w:rFonts w:asciiTheme="minorHAnsi" w:hAnsiTheme="minorHAnsi" w:cstheme="minorHAnsi"/>
          <w:lang w:eastAsia="pt-BR"/>
        </w:rPr>
        <w:t xml:space="preserve">Gislaine Saibro, </w:t>
      </w:r>
      <w:r w:rsidRPr="002E5721">
        <w:rPr>
          <w:rFonts w:asciiTheme="minorHAnsi" w:hAnsiTheme="minorHAnsi" w:cstheme="minorHAnsi"/>
          <w:lang w:eastAsia="pt-BR"/>
        </w:rPr>
        <w:t>Lidia Glacir Gomes Rodrigues, Marcia Elizabeth Martins, Nubia Margot Menezes Jardim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2E5721">
        <w:rPr>
          <w:rFonts w:asciiTheme="minorHAnsi" w:hAnsiTheme="minorHAnsi" w:cstheme="minorHAnsi"/>
          <w:lang w:eastAsia="pt-BR"/>
        </w:rPr>
        <w:t>Orildes Tres, Roberta Krahe Edelweiss 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Barbosa, Rodrigo Rintzel e Rodrigo Spinelli</w:t>
      </w:r>
      <w:r>
        <w:rPr>
          <w:rFonts w:asciiTheme="minorHAnsi" w:hAnsiTheme="minorHAnsi" w:cstheme="minorHAnsi"/>
          <w:lang w:eastAsia="pt-BR"/>
        </w:rPr>
        <w:t>; e 0</w:t>
      </w:r>
      <w:r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quatro</w:t>
      </w:r>
      <w:r>
        <w:rPr>
          <w:rFonts w:asciiTheme="minorHAnsi" w:hAnsiTheme="minorHAnsi" w:cstheme="minorHAnsi"/>
          <w:lang w:eastAsia="pt-BR"/>
        </w:rPr>
        <w:t xml:space="preserve">) ausências, das conselheiras </w:t>
      </w:r>
      <w:r w:rsidRPr="002E5721">
        <w:rPr>
          <w:rFonts w:asciiTheme="minorHAnsi" w:hAnsiTheme="minorHAnsi" w:cstheme="minorHAnsi"/>
          <w:lang w:eastAsia="pt-BR"/>
        </w:rPr>
        <w:t>An</w:t>
      </w:r>
      <w:r>
        <w:rPr>
          <w:rFonts w:asciiTheme="minorHAnsi" w:hAnsiTheme="minorHAnsi" w:cstheme="minorHAnsi"/>
          <w:lang w:eastAsia="pt-BR"/>
        </w:rPr>
        <w:t>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2E5721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e Letícia Kauer e do conselheiro Valdir Bandeira Fiorentin</w:t>
      </w:r>
      <w:r>
        <w:rPr>
          <w:rFonts w:asciiTheme="minorHAnsi" w:hAnsiTheme="minorHAnsi" w:cstheme="minorHAnsi"/>
          <w:lang w:eastAsia="pt-BR"/>
        </w:rPr>
        <w:t>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6E30DD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>de 2021.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A1A69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E3B53" w:rsidRDefault="007E3B53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E3B53" w:rsidRDefault="007E3B53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914C4" w:rsidRPr="000245F1">
        <w:rPr>
          <w:rFonts w:asciiTheme="minorHAnsi" w:hAnsiTheme="minorHAnsi" w:cstheme="minorHAnsi"/>
          <w:bCs/>
        </w:rPr>
        <w:t xml:space="preserve">TIAGO HOLZMANN DA SILVA </w:t>
      </w:r>
      <w:r>
        <w:rPr>
          <w:rFonts w:asciiTheme="minorHAnsi" w:hAnsiTheme="minorHAnsi" w:cstheme="minorHAnsi"/>
          <w:bCs/>
        </w:rPr>
        <w:tab/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7E3B53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7E3B5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6E30DD">
              <w:rPr>
                <w:rFonts w:asciiTheme="minorHAnsi" w:hAnsiTheme="minorHAnsi" w:cstheme="minorHAnsi"/>
                <w:sz w:val="22"/>
                <w:szCs w:val="22"/>
              </w:rPr>
              <w:t>31435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20358C" w:rsidRPr="002E5721" w:rsidRDefault="0020358C" w:rsidP="0020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20358C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20358C" w:rsidRPr="00B372AA" w:rsidRDefault="0020358C" w:rsidP="0020358C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20358C" w:rsidRPr="002E5721" w:rsidRDefault="0020358C" w:rsidP="00203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127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7E3B5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E3B53" w:rsidRPr="007E3B53">
              <w:rPr>
                <w:rFonts w:asciiTheme="minorHAnsi" w:hAnsiTheme="minorHAnsi" w:cstheme="minorHAnsi"/>
                <w:sz w:val="20"/>
                <w:szCs w:val="22"/>
              </w:rPr>
              <w:t>Transposições Orçamentárias – Plano de Ação 2021</w:t>
            </w:r>
          </w:p>
          <w:p w:rsidR="007E3B53" w:rsidRPr="000245F1" w:rsidRDefault="007E3B53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bookmarkStart w:id="0" w:name="_GoBack"/>
            <w:bookmarkEnd w:id="0"/>
            <w:r w:rsidRPr="0020358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20358C"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20358C"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20358C"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Pr="0020358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0358C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0358C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0358C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8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0358C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3777E-F40B-4037-88AA-9DD74DA4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6</cp:revision>
  <cp:lastPrinted>2020-11-17T21:41:00Z</cp:lastPrinted>
  <dcterms:created xsi:type="dcterms:W3CDTF">2021-12-13T17:46:00Z</dcterms:created>
  <dcterms:modified xsi:type="dcterms:W3CDTF">2021-12-20T13:59:00Z</dcterms:modified>
</cp:coreProperties>
</file>