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DF5B11">
            <w:pPr>
              <w:rPr>
                <w:rFonts w:ascii="Calibri" w:hAnsi="Calibri" w:cs="Calibri"/>
                <w:sz w:val="22"/>
                <w:szCs w:val="22"/>
              </w:rPr>
            </w:pPr>
            <w:r w:rsidRPr="005F0304">
              <w:rPr>
                <w:rFonts w:ascii="Calibri" w:hAnsi="Calibri" w:cs="Calibri"/>
                <w:sz w:val="22"/>
                <w:szCs w:val="22"/>
              </w:rPr>
              <w:t xml:space="preserve">Protocolo SICCAU nº </w:t>
            </w:r>
            <w:r w:rsidR="00DF5B11">
              <w:rPr>
                <w:rFonts w:ascii="Calibri" w:hAnsi="Calibri" w:cs="Calibri"/>
                <w:sz w:val="22"/>
                <w:szCs w:val="22"/>
              </w:rPr>
              <w:t>1422265</w:t>
            </w:r>
            <w:r w:rsidR="00536631" w:rsidRPr="00536631">
              <w:rPr>
                <w:rFonts w:ascii="Calibri" w:hAnsi="Calibri" w:cs="Calibri"/>
                <w:sz w:val="22"/>
                <w:szCs w:val="22"/>
              </w:rPr>
              <w:t>/202</w:t>
            </w:r>
            <w:r w:rsidR="000426B1">
              <w:rPr>
                <w:rFonts w:ascii="Calibri" w:hAnsi="Calibri" w:cs="Calibri"/>
                <w:sz w:val="22"/>
                <w:szCs w:val="22"/>
              </w:rPr>
              <w:t>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DF5B11" w:rsidP="00914B67">
            <w:pPr>
              <w:rPr>
                <w:rFonts w:ascii="Calibri" w:hAnsi="Calibri" w:cs="Calibri"/>
                <w:sz w:val="22"/>
                <w:szCs w:val="22"/>
              </w:rPr>
            </w:pPr>
            <w:r w:rsidRPr="00DF5B11">
              <w:rPr>
                <w:rFonts w:asciiTheme="minorHAnsi" w:hAnsiTheme="minorHAnsi" w:cstheme="minorHAnsi"/>
                <w:sz w:val="22"/>
                <w:szCs w:val="22"/>
              </w:rPr>
              <w:t>CEN-CAU/BR</w:t>
            </w:r>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DF5B11" w:rsidP="00DF5B11">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Declaração de Vacância e necessidade de recomposição do Plenário do CAU/RS</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w:t>
      </w:r>
      <w:r w:rsidR="00DF5B11">
        <w:rPr>
          <w:rFonts w:asciiTheme="minorHAnsi" w:hAnsiTheme="minorHAnsi" w:cstheme="minorHAnsi"/>
          <w:sz w:val="22"/>
          <w:szCs w:val="22"/>
          <w:lang w:eastAsia="pt-BR"/>
        </w:rPr>
        <w:t>4</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536631" w:rsidP="007C1D7A">
      <w:pPr>
        <w:ind w:left="5670"/>
        <w:jc w:val="both"/>
        <w:rPr>
          <w:rFonts w:ascii="Calibri" w:hAnsi="Calibri" w:cs="Calibri"/>
          <w:sz w:val="20"/>
          <w:szCs w:val="20"/>
        </w:rPr>
      </w:pPr>
      <w:r w:rsidRPr="00536631">
        <w:rPr>
          <w:rFonts w:ascii="Calibri" w:hAnsi="Calibri" w:cs="Calibri"/>
          <w:sz w:val="20"/>
          <w:szCs w:val="20"/>
        </w:rPr>
        <w:t>Homologa</w:t>
      </w:r>
      <w:r w:rsidR="00DF5B11">
        <w:rPr>
          <w:rFonts w:ascii="Calibri" w:hAnsi="Calibri" w:cs="Calibri"/>
          <w:sz w:val="20"/>
          <w:szCs w:val="20"/>
        </w:rPr>
        <w:t xml:space="preserve"> encaminhamento </w:t>
      </w:r>
      <w:r w:rsidR="003B7DF2">
        <w:rPr>
          <w:rFonts w:ascii="Calibri" w:hAnsi="Calibri" w:cs="Calibri"/>
          <w:sz w:val="20"/>
          <w:szCs w:val="20"/>
        </w:rPr>
        <w:t xml:space="preserve">ao </w:t>
      </w:r>
      <w:r w:rsidR="00DF5B11">
        <w:rPr>
          <w:rFonts w:ascii="Calibri" w:hAnsi="Calibri" w:cs="Calibri"/>
          <w:sz w:val="20"/>
          <w:szCs w:val="20"/>
        </w:rPr>
        <w:t xml:space="preserve">CAU/BR de </w:t>
      </w:r>
      <w:r w:rsidR="00DF5B11" w:rsidRPr="00DF5B11">
        <w:rPr>
          <w:rFonts w:ascii="Calibri" w:hAnsi="Calibri" w:cs="Calibri"/>
          <w:sz w:val="20"/>
          <w:szCs w:val="20"/>
        </w:rPr>
        <w:t>Declaração de Vacância e necessidade de recomposição do Plenário do CAU/RS</w:t>
      </w:r>
      <w:r w:rsidR="003B7DF2">
        <w:rPr>
          <w:rFonts w:ascii="Calibri" w:hAnsi="Calibri" w:cs="Calibri"/>
          <w:sz w:val="20"/>
          <w:szCs w:val="20"/>
        </w:rPr>
        <w:t>, dentre outras providências</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DF5B11" w:rsidRDefault="00DF5B11" w:rsidP="00DF5B11">
      <w:pPr>
        <w:jc w:val="both"/>
        <w:rPr>
          <w:rFonts w:asciiTheme="minorHAnsi" w:hAnsiTheme="minorHAnsi" w:cstheme="minorHAnsi"/>
          <w:sz w:val="22"/>
          <w:szCs w:val="22"/>
        </w:rPr>
      </w:pPr>
      <w:r>
        <w:rPr>
          <w:rFonts w:asciiTheme="minorHAnsi" w:hAnsiTheme="minorHAnsi" w:cstheme="minorHAnsi"/>
          <w:sz w:val="22"/>
          <w:szCs w:val="22"/>
        </w:rPr>
        <w:t xml:space="preserve">Considerando o Artigo </w:t>
      </w:r>
      <w:r w:rsidRPr="00DF5B11">
        <w:rPr>
          <w:rFonts w:asciiTheme="minorHAnsi" w:hAnsiTheme="minorHAnsi" w:cstheme="minorHAnsi"/>
          <w:sz w:val="22"/>
          <w:szCs w:val="22"/>
        </w:rPr>
        <w:t>14</w:t>
      </w:r>
      <w:r>
        <w:rPr>
          <w:rFonts w:asciiTheme="minorHAnsi" w:hAnsiTheme="minorHAnsi" w:cstheme="minorHAnsi"/>
          <w:sz w:val="22"/>
          <w:szCs w:val="22"/>
        </w:rPr>
        <w:t xml:space="preserve"> do Regimento Interno do CAU/RS que estabelece que o</w:t>
      </w:r>
      <w:r w:rsidRPr="00DF5B11">
        <w:rPr>
          <w:rFonts w:asciiTheme="minorHAnsi" w:hAnsiTheme="minorHAnsi" w:cstheme="minorHAnsi"/>
          <w:sz w:val="22"/>
          <w:szCs w:val="22"/>
        </w:rPr>
        <w:t>s mandatos de conselheiro titular e de suplente de conselheiro terão duração de 3 (três) anos,</w:t>
      </w:r>
      <w:r>
        <w:rPr>
          <w:rFonts w:asciiTheme="minorHAnsi" w:hAnsiTheme="minorHAnsi" w:cstheme="minorHAnsi"/>
          <w:sz w:val="22"/>
          <w:szCs w:val="22"/>
        </w:rPr>
        <w:t xml:space="preserve"> </w:t>
      </w:r>
      <w:r w:rsidRPr="00DF5B11">
        <w:rPr>
          <w:rFonts w:asciiTheme="minorHAnsi" w:hAnsiTheme="minorHAnsi" w:cstheme="minorHAnsi"/>
          <w:sz w:val="22"/>
          <w:szCs w:val="22"/>
        </w:rPr>
        <w:t>iniciando-se em 1° de janeiro do primeiro ano, e encerrando-se em 31 de dezembro do terceiro ano do</w:t>
      </w:r>
      <w:r>
        <w:rPr>
          <w:rFonts w:asciiTheme="minorHAnsi" w:hAnsiTheme="minorHAnsi" w:cstheme="minorHAnsi"/>
          <w:sz w:val="22"/>
          <w:szCs w:val="22"/>
        </w:rPr>
        <w:t xml:space="preserve"> </w:t>
      </w:r>
      <w:r w:rsidRPr="00DF5B11">
        <w:rPr>
          <w:rFonts w:asciiTheme="minorHAnsi" w:hAnsiTheme="minorHAnsi" w:cstheme="minorHAnsi"/>
          <w:sz w:val="22"/>
          <w:szCs w:val="22"/>
        </w:rPr>
        <w:t>mandato para o qual foi eleito</w:t>
      </w:r>
      <w:r>
        <w:rPr>
          <w:rFonts w:asciiTheme="minorHAnsi" w:hAnsiTheme="minorHAnsi" w:cstheme="minorHAnsi"/>
          <w:sz w:val="22"/>
          <w:szCs w:val="22"/>
        </w:rPr>
        <w:t>;</w:t>
      </w:r>
    </w:p>
    <w:p w:rsidR="00DF5B11" w:rsidRDefault="00DF5B11" w:rsidP="00DF5B11">
      <w:pPr>
        <w:jc w:val="both"/>
        <w:rPr>
          <w:rFonts w:asciiTheme="minorHAnsi" w:hAnsiTheme="minorHAnsi" w:cstheme="minorHAnsi"/>
          <w:sz w:val="22"/>
          <w:szCs w:val="22"/>
        </w:rPr>
      </w:pPr>
    </w:p>
    <w:p w:rsidR="00DF5B11" w:rsidRDefault="001348A2" w:rsidP="00DF5B11">
      <w:pPr>
        <w:jc w:val="both"/>
        <w:rPr>
          <w:rFonts w:asciiTheme="minorHAnsi" w:hAnsiTheme="minorHAnsi" w:cstheme="minorHAnsi"/>
          <w:sz w:val="22"/>
          <w:szCs w:val="22"/>
        </w:rPr>
      </w:pPr>
      <w:r w:rsidRPr="001348A2">
        <w:rPr>
          <w:rFonts w:asciiTheme="minorHAnsi" w:hAnsiTheme="minorHAnsi" w:cstheme="minorHAnsi"/>
          <w:sz w:val="22"/>
          <w:szCs w:val="22"/>
        </w:rPr>
        <w:t xml:space="preserve">Considerando </w:t>
      </w:r>
      <w:r w:rsidR="00DF5B11">
        <w:rPr>
          <w:rFonts w:asciiTheme="minorHAnsi" w:hAnsiTheme="minorHAnsi" w:cstheme="minorHAnsi"/>
          <w:sz w:val="22"/>
          <w:szCs w:val="22"/>
        </w:rPr>
        <w:t xml:space="preserve">comunicado apresentado pela Conselheira Roberta Krahe Edelweiss, conforme anexo desta deliberação, no qual informa seu </w:t>
      </w:r>
      <w:r w:rsidR="00DF5B11" w:rsidRPr="00DF5B11">
        <w:rPr>
          <w:rFonts w:asciiTheme="minorHAnsi" w:hAnsiTheme="minorHAnsi" w:cstheme="minorHAnsi"/>
          <w:sz w:val="22"/>
          <w:szCs w:val="22"/>
        </w:rPr>
        <w:t>desligamento do cargo de Conselheira Estadual</w:t>
      </w:r>
      <w:r w:rsidR="00DF5B11">
        <w:rPr>
          <w:rFonts w:asciiTheme="minorHAnsi" w:hAnsiTheme="minorHAnsi" w:cstheme="minorHAnsi"/>
          <w:sz w:val="22"/>
          <w:szCs w:val="22"/>
        </w:rPr>
        <w:t xml:space="preserve"> a partir de 01 de janeiro de 2022, tendo em vista sua </w:t>
      </w:r>
      <w:r w:rsidR="00DF5B11" w:rsidRPr="00DF5B11">
        <w:rPr>
          <w:rFonts w:asciiTheme="minorHAnsi" w:hAnsiTheme="minorHAnsi" w:cstheme="minorHAnsi"/>
          <w:sz w:val="22"/>
          <w:szCs w:val="22"/>
        </w:rPr>
        <w:t>transferência para outro estado em função do cargo como docente na Universidade Federal de Santa Catarina</w:t>
      </w:r>
      <w:r w:rsidR="00DF5B11">
        <w:rPr>
          <w:rFonts w:asciiTheme="minorHAnsi" w:hAnsiTheme="minorHAnsi" w:cstheme="minorHAnsi"/>
          <w:sz w:val="22"/>
          <w:szCs w:val="22"/>
        </w:rPr>
        <w:t>;</w:t>
      </w:r>
    </w:p>
    <w:p w:rsidR="00DF5B11" w:rsidRDefault="00DF5B11" w:rsidP="00DF5B11">
      <w:pPr>
        <w:jc w:val="both"/>
        <w:rPr>
          <w:rFonts w:asciiTheme="minorHAnsi" w:hAnsiTheme="minorHAnsi" w:cstheme="minorHAnsi"/>
          <w:sz w:val="22"/>
          <w:szCs w:val="22"/>
        </w:rPr>
      </w:pPr>
    </w:p>
    <w:p w:rsidR="001348A2" w:rsidRDefault="00DF5B11" w:rsidP="00DF5B11">
      <w:pPr>
        <w:jc w:val="both"/>
        <w:rPr>
          <w:rFonts w:asciiTheme="minorHAnsi" w:hAnsiTheme="minorHAnsi" w:cstheme="minorHAnsi"/>
          <w:sz w:val="22"/>
          <w:szCs w:val="22"/>
        </w:rPr>
      </w:pPr>
      <w:r>
        <w:rPr>
          <w:rFonts w:asciiTheme="minorHAnsi" w:hAnsiTheme="minorHAnsi" w:cstheme="minorHAnsi"/>
          <w:sz w:val="22"/>
          <w:szCs w:val="22"/>
        </w:rPr>
        <w:t>Considerando que a Conselheira Roberta Krahe Edelweiss não possui suplente, em virtude do falecimento do suplente de conselheiro, Iran Fernando da Rosa, ocorrido em 21 de março de 2021</w:t>
      </w:r>
      <w:r w:rsidR="001348A2" w:rsidRPr="001348A2">
        <w:rPr>
          <w:rFonts w:asciiTheme="minorHAnsi" w:hAnsiTheme="minorHAnsi" w:cstheme="minorHAnsi"/>
          <w:sz w:val="22"/>
          <w:szCs w:val="22"/>
        </w:rPr>
        <w:t>;</w:t>
      </w:r>
    </w:p>
    <w:p w:rsidR="00DF5B11" w:rsidRPr="001348A2" w:rsidRDefault="00DF5B11" w:rsidP="00DF5B11">
      <w:pPr>
        <w:jc w:val="both"/>
        <w:rPr>
          <w:rFonts w:asciiTheme="minorHAnsi" w:hAnsiTheme="minorHAnsi" w:cstheme="minorHAnsi"/>
          <w:sz w:val="22"/>
          <w:szCs w:val="22"/>
        </w:rPr>
      </w:pPr>
    </w:p>
    <w:p w:rsidR="003B7DF2" w:rsidRDefault="003B7DF2" w:rsidP="001348A2">
      <w:pPr>
        <w:jc w:val="both"/>
        <w:rPr>
          <w:rFonts w:asciiTheme="minorHAnsi" w:hAnsiTheme="minorHAnsi" w:cstheme="minorHAnsi"/>
          <w:sz w:val="22"/>
          <w:szCs w:val="22"/>
        </w:rPr>
      </w:pPr>
      <w:r w:rsidRPr="003B7DF2">
        <w:rPr>
          <w:rFonts w:asciiTheme="minorHAnsi" w:hAnsiTheme="minorHAnsi" w:cstheme="minorHAnsi"/>
          <w:sz w:val="22"/>
          <w:szCs w:val="22"/>
        </w:rPr>
        <w:t xml:space="preserve">Considerando que a recomposição de plenário de CAU/UF deverá ser realizada nos casos de vacância simultânea dos mandatos de conselheiro titular de CAU/UF e do respectivo suplente de conselheiro, na forma do o art. 118 do Regulamento Eleitoral aprovado pela Resolução CAU/BR nº 179, de 22 </w:t>
      </w:r>
      <w:r>
        <w:rPr>
          <w:rFonts w:asciiTheme="minorHAnsi" w:hAnsiTheme="minorHAnsi" w:cstheme="minorHAnsi"/>
          <w:sz w:val="22"/>
          <w:szCs w:val="22"/>
        </w:rPr>
        <w:t>de agosto de 2019;</w:t>
      </w:r>
    </w:p>
    <w:p w:rsidR="003B7DF2" w:rsidRDefault="003B7DF2" w:rsidP="001348A2">
      <w:pPr>
        <w:jc w:val="both"/>
        <w:rPr>
          <w:rFonts w:asciiTheme="minorHAnsi" w:hAnsiTheme="minorHAnsi" w:cstheme="minorHAnsi"/>
          <w:sz w:val="22"/>
          <w:szCs w:val="22"/>
        </w:rPr>
      </w:pPr>
    </w:p>
    <w:p w:rsidR="003B7DF2" w:rsidRPr="003B7DF2" w:rsidRDefault="003B7DF2" w:rsidP="001348A2">
      <w:pPr>
        <w:jc w:val="both"/>
        <w:rPr>
          <w:rFonts w:asciiTheme="minorHAnsi" w:hAnsiTheme="minorHAnsi" w:cstheme="minorHAnsi"/>
          <w:color w:val="000000"/>
          <w:sz w:val="22"/>
          <w:szCs w:val="22"/>
          <w:shd w:val="clear" w:color="auto" w:fill="FFFFFF"/>
        </w:rPr>
      </w:pPr>
      <w:r w:rsidRPr="003B7DF2">
        <w:rPr>
          <w:rFonts w:asciiTheme="minorHAnsi" w:hAnsiTheme="minorHAnsi" w:cstheme="minorHAnsi"/>
          <w:sz w:val="22"/>
          <w:szCs w:val="22"/>
        </w:rPr>
        <w:t xml:space="preserve">Considerando ainda o </w:t>
      </w:r>
      <w:r w:rsidRPr="003B7DF2">
        <w:rPr>
          <w:rFonts w:asciiTheme="minorHAnsi" w:hAnsiTheme="minorHAnsi" w:cstheme="minorHAnsi"/>
          <w:color w:val="000000"/>
          <w:sz w:val="22"/>
          <w:szCs w:val="22"/>
          <w:shd w:val="clear" w:color="auto" w:fill="FFFFFF"/>
        </w:rPr>
        <w:t>artigo 118 do Regulamento Eleitoral, que estabelece que deverão ser convocados os candidatos titular e respectivo suplente concorrentes na mesma chapa em ordem crescente da numeração de seus integrantes;</w:t>
      </w:r>
    </w:p>
    <w:p w:rsidR="003B7DF2" w:rsidRPr="003B7DF2" w:rsidRDefault="003B7DF2" w:rsidP="001348A2">
      <w:pPr>
        <w:jc w:val="both"/>
        <w:rPr>
          <w:rFonts w:asciiTheme="minorHAnsi" w:hAnsiTheme="minorHAnsi" w:cstheme="minorHAnsi"/>
          <w:color w:val="000000"/>
          <w:sz w:val="22"/>
          <w:szCs w:val="22"/>
          <w:shd w:val="clear" w:color="auto" w:fill="FFFFFF"/>
        </w:rPr>
      </w:pPr>
    </w:p>
    <w:p w:rsidR="003B7DF2" w:rsidRPr="003B7DF2" w:rsidRDefault="003B7DF2" w:rsidP="001348A2">
      <w:pPr>
        <w:jc w:val="both"/>
        <w:rPr>
          <w:rFonts w:asciiTheme="minorHAnsi" w:hAnsiTheme="minorHAnsi" w:cstheme="minorHAnsi"/>
          <w:color w:val="000000"/>
          <w:sz w:val="22"/>
          <w:szCs w:val="22"/>
          <w:shd w:val="clear" w:color="auto" w:fill="FFFFFF"/>
        </w:rPr>
      </w:pPr>
      <w:r w:rsidRPr="003B7DF2">
        <w:rPr>
          <w:rFonts w:asciiTheme="minorHAnsi" w:hAnsiTheme="minorHAnsi" w:cstheme="minorHAnsi"/>
          <w:color w:val="000000"/>
          <w:sz w:val="22"/>
          <w:szCs w:val="22"/>
          <w:shd w:val="clear" w:color="auto" w:fill="FFFFFF"/>
        </w:rPr>
        <w:t>Considerando por fim, o § 5º do Artigo 118 do referido regulamento que prevê que o CAU/UF deverá declarar a vacância e a necessidade de recomposição por meio de deliberação plenária a ser enviada ao CAU/BR para que a CEN-CAU/BR adote as providências de convocação de candidatos ou de eleições extraordinárias para recomposição de plenário;</w:t>
      </w:r>
    </w:p>
    <w:p w:rsidR="003B7DF2" w:rsidRDefault="003B7DF2" w:rsidP="001348A2">
      <w:pPr>
        <w:jc w:val="both"/>
        <w:rPr>
          <w:rFonts w:ascii="Arial" w:hAnsi="Arial" w:cs="Arial"/>
          <w:color w:val="000000"/>
          <w:sz w:val="22"/>
          <w:szCs w:val="22"/>
          <w:shd w:val="clear" w:color="auto" w:fill="FFFFFF"/>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1348A2" w:rsidRDefault="003B7DF2" w:rsidP="00C35F6B">
      <w:pPr>
        <w:pStyle w:val="PargrafodaLista"/>
        <w:numPr>
          <w:ilvl w:val="0"/>
          <w:numId w:val="7"/>
        </w:numPr>
        <w:jc w:val="both"/>
        <w:rPr>
          <w:rFonts w:ascii="Calibri" w:hAnsi="Calibri" w:cs="Calibri"/>
          <w:sz w:val="22"/>
          <w:szCs w:val="22"/>
        </w:rPr>
      </w:pPr>
      <w:r>
        <w:rPr>
          <w:rFonts w:ascii="Calibri" w:hAnsi="Calibri" w:cs="Calibri"/>
          <w:sz w:val="22"/>
          <w:szCs w:val="22"/>
        </w:rPr>
        <w:t>Declarar que a partir de 1º de janeiro de 2022</w:t>
      </w:r>
      <w:r w:rsidR="00ED0374">
        <w:rPr>
          <w:rFonts w:ascii="Calibri" w:hAnsi="Calibri" w:cs="Calibri"/>
          <w:sz w:val="22"/>
          <w:szCs w:val="22"/>
        </w:rPr>
        <w:t>,</w:t>
      </w:r>
      <w:r>
        <w:rPr>
          <w:rFonts w:ascii="Calibri" w:hAnsi="Calibri" w:cs="Calibri"/>
          <w:sz w:val="22"/>
          <w:szCs w:val="22"/>
        </w:rPr>
        <w:t xml:space="preserve"> o CAU/RS possui um cargo de conselheiro estadual e um cargo de suplente de conselheiro, em situação de vacância, sendo necessária a recomposição do plenário</w:t>
      </w:r>
      <w:r w:rsidR="001348A2">
        <w:rPr>
          <w:rFonts w:ascii="Calibri" w:hAnsi="Calibri" w:cs="Calibri"/>
          <w:sz w:val="22"/>
          <w:szCs w:val="22"/>
        </w:rPr>
        <w:t>;</w:t>
      </w:r>
    </w:p>
    <w:p w:rsidR="003B7DF2" w:rsidRDefault="003B7DF2" w:rsidP="003B7DF2">
      <w:pPr>
        <w:pStyle w:val="PargrafodaLista"/>
        <w:jc w:val="both"/>
        <w:rPr>
          <w:rFonts w:ascii="Calibri" w:hAnsi="Calibri" w:cs="Calibri"/>
          <w:sz w:val="22"/>
          <w:szCs w:val="22"/>
        </w:rPr>
      </w:pPr>
    </w:p>
    <w:p w:rsidR="001348A2" w:rsidRDefault="003B7DF2" w:rsidP="0027265C">
      <w:pPr>
        <w:pStyle w:val="PargrafodaLista"/>
        <w:numPr>
          <w:ilvl w:val="0"/>
          <w:numId w:val="7"/>
        </w:numPr>
        <w:jc w:val="both"/>
        <w:rPr>
          <w:rFonts w:ascii="Calibri" w:hAnsi="Calibri" w:cs="Calibri"/>
          <w:sz w:val="22"/>
          <w:szCs w:val="22"/>
        </w:rPr>
      </w:pPr>
      <w:r w:rsidRPr="003B7DF2">
        <w:rPr>
          <w:rFonts w:ascii="Calibri" w:hAnsi="Calibri" w:cs="Calibri"/>
          <w:sz w:val="22"/>
          <w:szCs w:val="22"/>
        </w:rPr>
        <w:lastRenderedPageBreak/>
        <w:t xml:space="preserve">Encaminhar a presente deliberação ao CAU/BR </w:t>
      </w:r>
      <w:r>
        <w:rPr>
          <w:rFonts w:ascii="Calibri" w:hAnsi="Calibri" w:cs="Calibri"/>
          <w:sz w:val="22"/>
          <w:szCs w:val="22"/>
        </w:rPr>
        <w:t xml:space="preserve">solicitando </w:t>
      </w:r>
      <w:r w:rsidRPr="003B7DF2">
        <w:rPr>
          <w:rFonts w:ascii="Calibri" w:hAnsi="Calibri" w:cs="Calibri"/>
          <w:sz w:val="22"/>
          <w:szCs w:val="22"/>
        </w:rPr>
        <w:t>especial atenção à demanda e envio imediato à CEN-CAU/BR, para providências quanto a convocação do conselheiro titular e respectivo suplente, concorrente na mesma chap</w:t>
      </w:r>
      <w:r>
        <w:rPr>
          <w:rFonts w:ascii="Calibri" w:hAnsi="Calibri" w:cs="Calibri"/>
          <w:sz w:val="22"/>
          <w:szCs w:val="22"/>
        </w:rPr>
        <w:t>a</w:t>
      </w:r>
      <w:r w:rsidR="00ED0374">
        <w:rPr>
          <w:rFonts w:ascii="Calibri" w:hAnsi="Calibri" w:cs="Calibri"/>
          <w:sz w:val="22"/>
          <w:szCs w:val="22"/>
        </w:rPr>
        <w:t xml:space="preserve">, conforme regramentos vigentes; </w:t>
      </w:r>
    </w:p>
    <w:p w:rsidR="003B7DF2" w:rsidRDefault="003B7DF2" w:rsidP="003B7DF2">
      <w:pPr>
        <w:pStyle w:val="PargrafodaLista"/>
        <w:jc w:val="both"/>
        <w:rPr>
          <w:rFonts w:ascii="Calibri" w:hAnsi="Calibri" w:cs="Calibri"/>
          <w:sz w:val="22"/>
          <w:szCs w:val="22"/>
        </w:rPr>
      </w:pPr>
    </w:p>
    <w:p w:rsidR="00986D25" w:rsidRPr="001348A2" w:rsidRDefault="001348A2" w:rsidP="00335C66">
      <w:pPr>
        <w:pStyle w:val="PargrafodaLista"/>
        <w:numPr>
          <w:ilvl w:val="0"/>
          <w:numId w:val="7"/>
        </w:numPr>
        <w:jc w:val="both"/>
        <w:rPr>
          <w:rFonts w:ascii="Calibri" w:hAnsi="Calibri" w:cs="Calibri"/>
          <w:sz w:val="22"/>
          <w:szCs w:val="22"/>
        </w:rPr>
      </w:pPr>
      <w:r w:rsidRPr="001348A2">
        <w:rPr>
          <w:rFonts w:ascii="Calibri" w:hAnsi="Calibri" w:cs="Calibri"/>
          <w:sz w:val="22"/>
          <w:szCs w:val="22"/>
        </w:rPr>
        <w:t xml:space="preserve">Encaminhar a presente deliberação à </w:t>
      </w:r>
      <w:r w:rsidR="003B7DF2">
        <w:rPr>
          <w:rFonts w:ascii="Calibri" w:hAnsi="Calibri" w:cs="Calibri"/>
          <w:sz w:val="22"/>
          <w:szCs w:val="22"/>
        </w:rPr>
        <w:t>Secretaria Geral</w:t>
      </w:r>
      <w:r w:rsidRPr="001348A2">
        <w:rPr>
          <w:rFonts w:ascii="Calibri" w:hAnsi="Calibri" w:cs="Calibri"/>
          <w:sz w:val="22"/>
          <w:szCs w:val="22"/>
        </w:rPr>
        <w:t>, para providências necessárias</w:t>
      </w:r>
      <w:r w:rsidR="00986D25" w:rsidRPr="001348A2">
        <w:rPr>
          <w:rFonts w:ascii="Calibri" w:hAnsi="Calibri" w:cs="Calibri"/>
          <w:sz w:val="22"/>
          <w:szCs w:val="22"/>
        </w:rPr>
        <w:t>;</w:t>
      </w:r>
    </w:p>
    <w:p w:rsidR="001348A2" w:rsidRDefault="001348A2" w:rsidP="001373A0">
      <w:pPr>
        <w:pStyle w:val="PargrafodaLista"/>
        <w:shd w:val="clear" w:color="auto" w:fill="FFFFFF"/>
        <w:ind w:left="0"/>
        <w:jc w:val="both"/>
        <w:rPr>
          <w:rFonts w:ascii="Calibri" w:hAnsi="Calibri" w:cs="Calibri"/>
          <w:sz w:val="22"/>
          <w:szCs w:val="22"/>
          <w:u w:val="single"/>
          <w:lang w:eastAsia="pt-BR"/>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ED0374" w:rsidRPr="004A3B48" w:rsidRDefault="00ED0374" w:rsidP="00ED0374">
      <w:pPr>
        <w:ind w:right="-8"/>
        <w:jc w:val="both"/>
        <w:rPr>
          <w:rFonts w:ascii="Calibri" w:hAnsi="Calibri" w:cs="Calibri"/>
          <w:sz w:val="22"/>
          <w:szCs w:val="22"/>
          <w:lang w:eastAsia="pt-BR"/>
        </w:rPr>
      </w:pPr>
      <w:r w:rsidRPr="004A3B48">
        <w:rPr>
          <w:rFonts w:ascii="Calibri" w:hAnsi="Calibri" w:cs="Calibr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w:t>
      </w:r>
      <w:proofErr w:type="spellStart"/>
      <w:r w:rsidRPr="004A3B48">
        <w:rPr>
          <w:rFonts w:ascii="Calibri" w:hAnsi="Calibri" w:cs="Calibri"/>
          <w:sz w:val="22"/>
          <w:szCs w:val="22"/>
          <w:lang w:eastAsia="pt-BR"/>
        </w:rPr>
        <w:t>Mingoti</w:t>
      </w:r>
      <w:proofErr w:type="spellEnd"/>
      <w:r w:rsidRPr="004A3B48">
        <w:rPr>
          <w:rFonts w:ascii="Calibri" w:hAnsi="Calibri" w:cs="Calibri"/>
          <w:sz w:val="22"/>
          <w:szCs w:val="22"/>
          <w:lang w:eastAsia="pt-BR"/>
        </w:rPr>
        <w:t>.</w:t>
      </w:r>
      <w:r w:rsidRPr="004A3B48">
        <w:rPr>
          <w:rFonts w:ascii="Calibri" w:hAnsi="Calibri" w:cs="Calibri"/>
          <w:sz w:val="22"/>
          <w:szCs w:val="22"/>
          <w:lang w:eastAsia="pt-BR"/>
        </w:rPr>
        <w:tab/>
      </w:r>
    </w:p>
    <w:p w:rsidR="008F0D68" w:rsidRPr="006A1B9D" w:rsidRDefault="008F0D68" w:rsidP="008F0D68">
      <w:pPr>
        <w:ind w:right="-8"/>
        <w:jc w:val="both"/>
        <w:rPr>
          <w:rFonts w:ascii="Calibri" w:hAnsi="Calibri" w:cs="Calibri"/>
          <w:sz w:val="22"/>
          <w:szCs w:val="22"/>
          <w:lang w:eastAsia="pt-BR"/>
        </w:rPr>
      </w:pPr>
      <w:r w:rsidRPr="006A1B9D">
        <w:rPr>
          <w:rFonts w:ascii="Calibri" w:hAnsi="Calibri" w:cs="Calibri"/>
          <w:sz w:val="22"/>
          <w:szCs w:val="22"/>
          <w:lang w:eastAsia="pt-BR"/>
        </w:rPr>
        <w:tab/>
      </w:r>
    </w:p>
    <w:p w:rsidR="00F544CA" w:rsidRPr="006A1B9D" w:rsidRDefault="00CF4ECD" w:rsidP="001373A0">
      <w:pPr>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2514F4" w:rsidRPr="006A1B9D" w:rsidRDefault="002514F4"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3B7DF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3B7DF2">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w:t>
            </w:r>
            <w:r w:rsidR="003B7DF2">
              <w:rPr>
                <w:rFonts w:asciiTheme="minorHAnsi" w:eastAsia="Times New Roman" w:hAnsiTheme="minorHAnsi" w:cstheme="minorHAnsi"/>
                <w:lang w:eastAsia="pt-BR"/>
              </w:rPr>
              <w:t>4</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3B7DF2">
              <w:rPr>
                <w:rFonts w:asciiTheme="minorHAnsi" w:eastAsia="Times New Roman" w:hAnsiTheme="minorHAnsi" w:cstheme="minorHAnsi"/>
                <w:lang w:eastAsia="pt-BR"/>
              </w:rPr>
              <w:t>1422265</w:t>
            </w:r>
            <w:r w:rsidR="00986D25" w:rsidRPr="00986D25">
              <w:rPr>
                <w:rFonts w:asciiTheme="minorHAnsi" w:eastAsia="Times New Roman" w:hAnsiTheme="minorHAnsi" w:cstheme="minorHAnsi"/>
                <w:lang w:eastAsia="pt-BR"/>
              </w:rPr>
              <w:t>/202</w:t>
            </w:r>
            <w:r w:rsidR="000426B1">
              <w:rPr>
                <w:rFonts w:asciiTheme="minorHAnsi" w:eastAsia="Times New Roman" w:hAnsiTheme="minorHAnsi" w:cstheme="minorHAnsi"/>
                <w:lang w:eastAsia="pt-BR"/>
              </w:rPr>
              <w:t>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D0374" w:rsidRPr="005A037C" w:rsidRDefault="00ED0374" w:rsidP="00ED0374">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D0374" w:rsidRPr="005A037C" w:rsidRDefault="00ED0374" w:rsidP="00ED0374">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D0374" w:rsidRPr="005A037C" w:rsidRDefault="00ED0374" w:rsidP="00ED0374">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Magali </w:t>
            </w:r>
            <w:proofErr w:type="spellStart"/>
            <w:r w:rsidRPr="005A037C">
              <w:rPr>
                <w:rFonts w:asciiTheme="minorHAnsi" w:hAnsiTheme="minorHAnsi" w:cstheme="minorHAnsi"/>
                <w:b w:val="0"/>
                <w:color w:val="000000"/>
                <w:sz w:val="20"/>
                <w:szCs w:val="20"/>
              </w:rPr>
              <w:t>Mingoti</w:t>
            </w:r>
            <w:proofErr w:type="spellEnd"/>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5A037C" w:rsidRDefault="00ED0374" w:rsidP="00ED0374">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ED0374" w:rsidRPr="00C861CB" w:rsidRDefault="00ED0374" w:rsidP="00ED03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ED0374" w:rsidRPr="00B514D4" w:rsidTr="007C568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ED0374" w:rsidRPr="008C6AAC" w:rsidRDefault="00ED0374" w:rsidP="00ED0374">
            <w:pPr>
              <w:pStyle w:val="PargrafodaLista"/>
              <w:numPr>
                <w:ilvl w:val="0"/>
                <w:numId w:val="25"/>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ED0374" w:rsidRPr="00C861CB" w:rsidRDefault="00ED0374" w:rsidP="00ED03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proofErr w:type="gramStart"/>
            <w:r w:rsidRPr="00B514D4">
              <w:rPr>
                <w:rFonts w:asciiTheme="minorHAnsi" w:eastAsia="Times New Roman" w:hAnsiTheme="minorHAnsi" w:cstheme="minorHAnsi"/>
                <w:b/>
                <w:bCs/>
                <w:sz w:val="20"/>
                <w:lang w:eastAsia="pt-BR"/>
              </w:rPr>
              <w:t>Plenária Ordinária</w:t>
            </w:r>
            <w:proofErr w:type="gramEnd"/>
            <w:r w:rsidRPr="00B514D4">
              <w:rPr>
                <w:rFonts w:asciiTheme="minorHAnsi" w:eastAsia="Times New Roman" w:hAnsiTheme="minorHAnsi" w:cstheme="minorHAnsi"/>
                <w:b/>
                <w:bCs/>
                <w:sz w:val="20"/>
                <w:lang w:eastAsia="pt-BR"/>
              </w:rPr>
              <w:t xml:space="preserve">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426B1">
              <w:rPr>
                <w:rFonts w:asciiTheme="minorHAnsi" w:eastAsia="Times New Roman" w:hAnsiTheme="minorHAnsi" w:cstheme="minorHAnsi"/>
                <w:b/>
                <w:bCs/>
                <w:sz w:val="20"/>
                <w:lang w:eastAsia="pt-BR"/>
              </w:rPr>
              <w:t>8</w:t>
            </w:r>
            <w:r w:rsidR="003B7DF2">
              <w:rPr>
                <w:rFonts w:asciiTheme="minorHAnsi" w:eastAsia="Times New Roman" w:hAnsiTheme="minorHAnsi" w:cstheme="minorHAnsi"/>
                <w:b/>
                <w:bCs/>
                <w:sz w:val="20"/>
                <w:lang w:eastAsia="pt-BR"/>
              </w:rPr>
              <w:t>4</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3B7DF2">
              <w:rPr>
                <w:rFonts w:asciiTheme="minorHAnsi" w:eastAsia="Times New Roman" w:hAnsiTheme="minorHAnsi" w:cstheme="minorHAnsi"/>
                <w:bCs/>
                <w:sz w:val="20"/>
                <w:lang w:eastAsia="pt-BR"/>
              </w:rPr>
              <w:t xml:space="preserve">Declaração de Vacância </w:t>
            </w:r>
            <w:r w:rsidR="001348A2">
              <w:rPr>
                <w:rFonts w:asciiTheme="minorHAnsi" w:eastAsia="Times New Roman" w:hAnsiTheme="minorHAnsi" w:cstheme="minorHAnsi"/>
                <w:bCs/>
                <w:sz w:val="20"/>
                <w:lang w:eastAsia="pt-BR"/>
              </w:rPr>
              <w:t xml:space="preserve"> </w:t>
            </w:r>
            <w:bookmarkStart w:id="0" w:name="_GoBack"/>
            <w:bookmarkEnd w:id="0"/>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ED0374" w:rsidRPr="00B514D4" w:rsidRDefault="00C2184E" w:rsidP="00ED0374">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ED0374" w:rsidRPr="008D6447">
              <w:rPr>
                <w:rFonts w:asciiTheme="minorHAnsi" w:eastAsia="Times New Roman" w:hAnsiTheme="minorHAnsi" w:cstheme="minorHAnsi"/>
                <w:bCs/>
                <w:sz w:val="20"/>
                <w:lang w:eastAsia="pt-BR"/>
              </w:rPr>
              <w:t>Favoráveis (19) ausências (03</w:t>
            </w:r>
            <w:proofErr w:type="gramStart"/>
            <w:r w:rsidR="00ED0374" w:rsidRPr="008D6447">
              <w:rPr>
                <w:rFonts w:asciiTheme="minorHAnsi" w:eastAsia="Times New Roman" w:hAnsiTheme="minorHAnsi" w:cstheme="minorHAnsi"/>
                <w:bCs/>
                <w:sz w:val="20"/>
                <w:lang w:eastAsia="pt-BR"/>
              </w:rPr>
              <w:t>) Total</w:t>
            </w:r>
            <w:proofErr w:type="gramEnd"/>
            <w:r w:rsidR="00ED0374" w:rsidRPr="008D6447">
              <w:rPr>
                <w:rFonts w:asciiTheme="minorHAnsi" w:eastAsia="Times New Roman" w:hAnsiTheme="minorHAnsi" w:cstheme="minorHAnsi"/>
                <w:bCs/>
                <w:sz w:val="20"/>
                <w:lang w:eastAsia="pt-BR"/>
              </w:rPr>
              <w:t> (22)</w:t>
            </w:r>
            <w:r w:rsidR="00ED0374"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4C" w:rsidRDefault="00B06D4C" w:rsidP="004C3048">
      <w:r>
        <w:separator/>
      </w:r>
    </w:p>
  </w:endnote>
  <w:endnote w:type="continuationSeparator" w:id="0">
    <w:p w:rsidR="00B06D4C" w:rsidRDefault="00B06D4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D037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D037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D037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4C" w:rsidRDefault="00B06D4C" w:rsidP="004C3048">
      <w:r>
        <w:separator/>
      </w:r>
    </w:p>
  </w:footnote>
  <w:footnote w:type="continuationSeparator" w:id="0">
    <w:p w:rsidR="00B06D4C" w:rsidRDefault="00B06D4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48A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B7DF2"/>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0D68"/>
    <w:rsid w:val="008F1276"/>
    <w:rsid w:val="008F159C"/>
    <w:rsid w:val="009073DD"/>
    <w:rsid w:val="00914B67"/>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6D4C"/>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B6D22"/>
    <w:rsid w:val="00CC5EB2"/>
    <w:rsid w:val="00CD0E69"/>
    <w:rsid w:val="00CE4E08"/>
    <w:rsid w:val="00CF2FBA"/>
    <w:rsid w:val="00CF4ECD"/>
    <w:rsid w:val="00D07223"/>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1AAF"/>
    <w:rsid w:val="00DC48BD"/>
    <w:rsid w:val="00DC53DC"/>
    <w:rsid w:val="00DD09A6"/>
    <w:rsid w:val="00DD16FB"/>
    <w:rsid w:val="00DE67B2"/>
    <w:rsid w:val="00DF1E00"/>
    <w:rsid w:val="00DF2B5B"/>
    <w:rsid w:val="00DF48F9"/>
    <w:rsid w:val="00DF5B11"/>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0374"/>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5ADD-F2EC-4720-994A-778E63E8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784</Words>
  <Characters>4239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7</cp:revision>
  <cp:lastPrinted>2021-03-01T14:20:00Z</cp:lastPrinted>
  <dcterms:created xsi:type="dcterms:W3CDTF">2021-11-23T22:22:00Z</dcterms:created>
  <dcterms:modified xsi:type="dcterms:W3CDTF">2021-11-30T20:10:00Z</dcterms:modified>
</cp:coreProperties>
</file>