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A7E11">
              <w:rPr>
                <w:rFonts w:asciiTheme="minorHAnsi" w:hAnsiTheme="minorHAnsi" w:cstheme="minorHAnsi"/>
              </w:rPr>
              <w:t>1400033</w:t>
            </w:r>
            <w:r w:rsidR="00310011">
              <w:rPr>
                <w:rFonts w:asciiTheme="minorHAnsi" w:hAnsiTheme="minorHAnsi" w:cstheme="minorHAnsi"/>
              </w:rPr>
              <w:t>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7A7E11" w:rsidP="006245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CEF</w:t>
            </w:r>
            <w:r w:rsidR="00310011">
              <w:rPr>
                <w:rFonts w:asciiTheme="minorHAnsi" w:hAnsiTheme="minorHAnsi" w:cstheme="minorHAnsi"/>
              </w:rPr>
              <w:t>-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7A7E11" w:rsidRDefault="007A7E11" w:rsidP="002031CC">
            <w:pPr>
              <w:rPr>
                <w:rFonts w:asciiTheme="minorHAnsi" w:hAnsiTheme="minorHAnsi" w:cstheme="minorHAnsi"/>
              </w:rPr>
            </w:pPr>
            <w:r w:rsidRPr="007A7E11">
              <w:rPr>
                <w:rFonts w:asciiTheme="minorHAnsi" w:hAnsiTheme="minorHAnsi" w:cstheme="minorHAnsi"/>
                <w:lang w:eastAsia="pt-BR"/>
              </w:rPr>
              <w:t>Regulamentação</w:t>
            </w:r>
            <w:r w:rsidR="002031CC">
              <w:rPr>
                <w:rFonts w:asciiTheme="minorHAnsi" w:hAnsiTheme="minorHAnsi" w:cstheme="minorHAnsi"/>
                <w:lang w:eastAsia="pt-BR"/>
              </w:rPr>
              <w:t xml:space="preserve"> de Processo Administrativo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C2128">
        <w:rPr>
          <w:rFonts w:asciiTheme="minorHAnsi" w:hAnsiTheme="minorHAnsi" w:cstheme="minorHAnsi"/>
          <w:lang w:eastAsia="pt-BR"/>
        </w:rPr>
        <w:t>1367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6245B2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Aprova a </w:t>
      </w:r>
      <w:r w:rsidR="007A7E11" w:rsidRPr="001661FF">
        <w:rPr>
          <w:rFonts w:asciiTheme="minorHAnsi" w:hAnsiTheme="minorHAnsi" w:cstheme="minorHAnsi"/>
          <w:sz w:val="22"/>
          <w:szCs w:val="22"/>
          <w:lang w:eastAsia="pt-BR"/>
        </w:rPr>
        <w:t xml:space="preserve">regulamentação de processo administrativo para averiguação do cumprimento das diretrizes curriculares e demais condições para ensino de </w:t>
      </w:r>
      <w:r w:rsidR="002031CC" w:rsidRPr="001661FF">
        <w:rPr>
          <w:rFonts w:asciiTheme="minorHAnsi" w:hAnsiTheme="minorHAnsi" w:cstheme="minorHAnsi"/>
          <w:sz w:val="22"/>
          <w:szCs w:val="22"/>
          <w:lang w:eastAsia="pt-BR"/>
        </w:rPr>
        <w:t xml:space="preserve">Arquitetura </w:t>
      </w:r>
      <w:r w:rsidR="007A7E11" w:rsidRPr="001661FF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2031CC" w:rsidRPr="001661FF">
        <w:rPr>
          <w:rFonts w:asciiTheme="minorHAnsi" w:hAnsiTheme="minorHAnsi" w:cstheme="minorHAnsi"/>
          <w:sz w:val="22"/>
          <w:szCs w:val="22"/>
          <w:lang w:eastAsia="pt-BR"/>
        </w:rPr>
        <w:t xml:space="preserve">Urbanismo </w:t>
      </w:r>
      <w:r w:rsidR="007A7E11" w:rsidRPr="001661FF">
        <w:rPr>
          <w:rFonts w:asciiTheme="minorHAnsi" w:hAnsiTheme="minorHAnsi" w:cstheme="minorHAnsi"/>
          <w:sz w:val="22"/>
          <w:szCs w:val="22"/>
          <w:lang w:eastAsia="pt-BR"/>
        </w:rPr>
        <w:t>no âmbito do Estado do Rio Grande do Sul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011F57" w:rsidRDefault="00011F57" w:rsidP="00011F57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o inciso</w:t>
      </w:r>
      <w:r w:rsidRPr="00011F57">
        <w:t xml:space="preserve"> </w:t>
      </w:r>
      <w:r w:rsidRPr="00011F57">
        <w:rPr>
          <w:rFonts w:asciiTheme="minorHAnsi" w:hAnsiTheme="minorHAnsi" w:cstheme="minorHAnsi"/>
          <w:lang w:eastAsia="pt-BR"/>
        </w:rPr>
        <w:t>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</w:t>
      </w:r>
      <w:r>
        <w:rPr>
          <w:rFonts w:asciiTheme="minorHAnsi" w:hAnsiTheme="minorHAnsi" w:cstheme="minorHAnsi"/>
          <w:lang w:eastAsia="pt-BR"/>
        </w:rPr>
        <w:t>,</w:t>
      </w:r>
      <w:r w:rsidRPr="00011F57">
        <w:rPr>
          <w:rFonts w:asciiTheme="minorHAnsi" w:hAnsiTheme="minorHAnsi" w:cstheme="minorHAnsi"/>
          <w:lang w:eastAsia="pt-BR"/>
        </w:rPr>
        <w:t xml:space="preserve"> apreciar e deliberar sobre atos destinados a regulamentar e executar a aplicação da Lei n° 12.378, de 2010, do Regimento Geral do CAU, das resoluções do CAU/BR, das deliberações plenárias e dos demais atos normativos baixados pelos CAU/BR e CAU/RS, bem como resolver os casos omissos;</w:t>
      </w:r>
    </w:p>
    <w:p w:rsidR="00011F57" w:rsidRDefault="00011F57" w:rsidP="00011F57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1D19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="00011F57">
        <w:rPr>
          <w:rFonts w:asciiTheme="minorHAnsi" w:hAnsiTheme="minorHAnsi" w:cstheme="minorHAnsi"/>
        </w:rPr>
        <w:t>XLIII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6245B2">
        <w:rPr>
          <w:rFonts w:asciiTheme="minorHAnsi" w:hAnsiTheme="minorHAnsi" w:cstheme="minorHAnsi"/>
        </w:rPr>
        <w:t xml:space="preserve"> </w:t>
      </w:r>
      <w:r w:rsidR="00011F57" w:rsidRPr="00011F57">
        <w:rPr>
          <w:rFonts w:asciiTheme="minorHAnsi" w:hAnsiTheme="minorHAnsi" w:cstheme="minorHAnsi"/>
        </w:rPr>
        <w:t>apreciar e deliberar sobre atos administrativos de competência do presidente do CAU/RS</w:t>
      </w:r>
      <w:r w:rsidR="00835795">
        <w:rPr>
          <w:rFonts w:asciiTheme="minorHAnsi" w:hAnsiTheme="minorHAnsi" w:cstheme="minorHAnsi"/>
        </w:rPr>
        <w:t>;</w:t>
      </w:r>
    </w:p>
    <w:p w:rsidR="00835795" w:rsidRDefault="00835795" w:rsidP="001D1985">
      <w:pPr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 xml:space="preserve">Considerando a Deliberação </w:t>
      </w:r>
      <w:r w:rsidR="007A7E11">
        <w:rPr>
          <w:rFonts w:asciiTheme="minorHAnsi" w:hAnsiTheme="minorHAnsi" w:cstheme="minorHAnsi"/>
        </w:rPr>
        <w:t>CEF</w:t>
      </w:r>
      <w:r w:rsidRPr="00D423C5">
        <w:rPr>
          <w:rFonts w:asciiTheme="minorHAnsi" w:hAnsiTheme="minorHAnsi" w:cstheme="minorHAnsi"/>
        </w:rPr>
        <w:t>-CAU/RS nº 0</w:t>
      </w:r>
      <w:r w:rsidR="007A7E11">
        <w:rPr>
          <w:rFonts w:asciiTheme="minorHAnsi" w:hAnsiTheme="minorHAnsi" w:cstheme="minorHAnsi"/>
        </w:rPr>
        <w:t>43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7A7E11">
        <w:rPr>
          <w:rFonts w:asciiTheme="minorHAnsi" w:hAnsiTheme="minorHAnsi" w:cstheme="minorHAnsi"/>
        </w:rPr>
        <w:t>6 de outu</w:t>
      </w:r>
      <w:r w:rsidR="00954923">
        <w:rPr>
          <w:rFonts w:asciiTheme="minorHAnsi" w:hAnsiTheme="minorHAnsi" w:cstheme="minorHAnsi"/>
        </w:rPr>
        <w:t>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 xml:space="preserve">ue </w:t>
      </w:r>
      <w:r w:rsidR="007A7E11">
        <w:rPr>
          <w:rFonts w:asciiTheme="minorHAnsi" w:hAnsiTheme="minorHAnsi" w:cstheme="minorHAnsi"/>
        </w:rPr>
        <w:t>aprovou</w:t>
      </w:r>
      <w:r w:rsidR="006245B2" w:rsidRPr="006245B2">
        <w:rPr>
          <w:rFonts w:asciiTheme="minorHAnsi" w:hAnsiTheme="minorHAnsi" w:cstheme="minorHAnsi"/>
        </w:rPr>
        <w:t xml:space="preserve"> </w:t>
      </w:r>
      <w:r w:rsidR="007A7E11" w:rsidRPr="007A7E11">
        <w:rPr>
          <w:rFonts w:asciiTheme="minorHAnsi" w:hAnsiTheme="minorHAnsi" w:cstheme="minorHAnsi"/>
        </w:rPr>
        <w:t xml:space="preserve">procedimentos para instauração de processos administrativos com objetivo </w:t>
      </w:r>
      <w:r w:rsidR="002031CC">
        <w:rPr>
          <w:rFonts w:asciiTheme="minorHAnsi" w:hAnsiTheme="minorHAnsi" w:cstheme="minorHAnsi"/>
        </w:rPr>
        <w:t xml:space="preserve">de </w:t>
      </w:r>
      <w:r w:rsidR="007A7E11" w:rsidRPr="007A7E11">
        <w:rPr>
          <w:rFonts w:asciiTheme="minorHAnsi" w:hAnsiTheme="minorHAnsi" w:cstheme="minorHAnsi"/>
        </w:rPr>
        <w:t>averiguar a regularidade da oferta dos cursos de Arquitetura e Urbanismo no âmbito do Rio Grande do Sul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AB4908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AC048F" w:rsidRPr="00AB4908" w:rsidRDefault="00DF48F9" w:rsidP="00DF48F9">
      <w:pPr>
        <w:tabs>
          <w:tab w:val="left" w:pos="3030"/>
        </w:tabs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ab/>
      </w:r>
    </w:p>
    <w:p w:rsidR="001F0F1E" w:rsidRPr="006245B2" w:rsidRDefault="00310011" w:rsidP="00024BAB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i/>
        </w:rPr>
      </w:pPr>
      <w:r w:rsidRPr="006245B2">
        <w:rPr>
          <w:rFonts w:asciiTheme="minorHAnsi" w:hAnsiTheme="minorHAnsi" w:cstheme="minorHAnsi"/>
        </w:rPr>
        <w:t>Aprovar</w:t>
      </w:r>
      <w:r w:rsidR="000F48F6" w:rsidRPr="006245B2">
        <w:rPr>
          <w:rFonts w:asciiTheme="minorHAnsi" w:hAnsiTheme="minorHAnsi" w:cstheme="minorHAnsi"/>
        </w:rPr>
        <w:t xml:space="preserve"> a</w:t>
      </w:r>
      <w:r w:rsidR="006245B2">
        <w:rPr>
          <w:rFonts w:asciiTheme="minorHAnsi" w:hAnsiTheme="minorHAnsi" w:cstheme="minorHAnsi"/>
        </w:rPr>
        <w:t xml:space="preserve"> </w:t>
      </w:r>
      <w:r w:rsidR="00024BAB" w:rsidRPr="00024BAB">
        <w:rPr>
          <w:rFonts w:asciiTheme="minorHAnsi" w:hAnsiTheme="minorHAnsi" w:cstheme="minorHAnsi"/>
        </w:rPr>
        <w:t xml:space="preserve">regulamentação de processo administrativo para averiguação do cumprimento das diretrizes curriculares e demais condições para ensino de </w:t>
      </w:r>
      <w:r w:rsidR="002031CC" w:rsidRPr="00024BAB">
        <w:rPr>
          <w:rFonts w:asciiTheme="minorHAnsi" w:hAnsiTheme="minorHAnsi" w:cstheme="minorHAnsi"/>
        </w:rPr>
        <w:t xml:space="preserve">Arquitetura </w:t>
      </w:r>
      <w:r w:rsidR="00024BAB" w:rsidRPr="00024BAB">
        <w:rPr>
          <w:rFonts w:asciiTheme="minorHAnsi" w:hAnsiTheme="minorHAnsi" w:cstheme="minorHAnsi"/>
        </w:rPr>
        <w:t xml:space="preserve">e </w:t>
      </w:r>
      <w:r w:rsidR="002031CC" w:rsidRPr="00024BAB">
        <w:rPr>
          <w:rFonts w:asciiTheme="minorHAnsi" w:hAnsiTheme="minorHAnsi" w:cstheme="minorHAnsi"/>
        </w:rPr>
        <w:t xml:space="preserve">Urbanismo </w:t>
      </w:r>
      <w:r w:rsidR="00024BAB" w:rsidRPr="00024BAB">
        <w:rPr>
          <w:rFonts w:asciiTheme="minorHAnsi" w:hAnsiTheme="minorHAnsi" w:cstheme="minorHAnsi"/>
        </w:rPr>
        <w:t>no âmbito do Estado do Rio Grande do Sul</w:t>
      </w:r>
      <w:r w:rsidR="003864D1">
        <w:rPr>
          <w:rFonts w:asciiTheme="minorHAnsi" w:hAnsiTheme="minorHAnsi" w:cstheme="minorHAnsi"/>
        </w:rPr>
        <w:t xml:space="preserve">, </w:t>
      </w:r>
      <w:r w:rsidR="00011F57">
        <w:rPr>
          <w:rFonts w:asciiTheme="minorHAnsi" w:hAnsiTheme="minorHAnsi" w:cstheme="minorHAnsi"/>
        </w:rPr>
        <w:t>nos termos da</w:t>
      </w:r>
      <w:r w:rsidR="00024BAB">
        <w:rPr>
          <w:rFonts w:asciiTheme="minorHAnsi" w:hAnsiTheme="minorHAnsi" w:cstheme="minorHAnsi"/>
        </w:rPr>
        <w:t xml:space="preserve"> minuta de Portaria Normativa </w:t>
      </w:r>
      <w:r w:rsidR="003864D1">
        <w:rPr>
          <w:rFonts w:asciiTheme="minorHAnsi" w:hAnsiTheme="minorHAnsi" w:cstheme="minorHAnsi"/>
        </w:rPr>
        <w:t>em anexo</w:t>
      </w:r>
      <w:r w:rsidR="00970360" w:rsidRPr="006245B2">
        <w:rPr>
          <w:rFonts w:asciiTheme="minorHAnsi" w:hAnsiTheme="minorHAnsi" w:cstheme="minorHAnsi"/>
          <w:lang w:eastAsia="pt-BR"/>
        </w:rPr>
        <w:t>;</w:t>
      </w:r>
    </w:p>
    <w:p w:rsidR="008E4596" w:rsidRDefault="008E4596" w:rsidP="00C0379D">
      <w:pPr>
        <w:jc w:val="both"/>
        <w:rPr>
          <w:rFonts w:asciiTheme="minorHAnsi" w:hAnsiTheme="minorHAnsi" w:cstheme="minorHAnsi"/>
        </w:rPr>
      </w:pPr>
    </w:p>
    <w:p w:rsidR="007A7E11" w:rsidRDefault="007A7E11" w:rsidP="007A7E11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</w:t>
      </w:r>
      <w:r w:rsidRPr="007A7E11">
        <w:rPr>
          <w:rFonts w:asciiTheme="minorHAnsi" w:hAnsiTheme="minorHAnsi" w:cstheme="minorHAnsi"/>
        </w:rPr>
        <w:t xml:space="preserve"> ciência ao CAU/BR deste novo procedimento a ser adotado pelo CAU/RS, em retorno à Deliberação </w:t>
      </w:r>
      <w:r>
        <w:rPr>
          <w:rFonts w:asciiTheme="minorHAnsi" w:hAnsiTheme="minorHAnsi" w:cstheme="minorHAnsi"/>
        </w:rPr>
        <w:t>CEF-CAU/BR nº</w:t>
      </w:r>
      <w:r w:rsidRPr="007A7E11">
        <w:rPr>
          <w:rFonts w:asciiTheme="minorHAnsi" w:hAnsiTheme="minorHAnsi" w:cstheme="minorHAnsi"/>
        </w:rPr>
        <w:t xml:space="preserve"> 019/2021</w:t>
      </w:r>
      <w:r>
        <w:rPr>
          <w:rFonts w:asciiTheme="minorHAnsi" w:hAnsiTheme="minorHAnsi" w:cstheme="minorHAnsi"/>
        </w:rPr>
        <w:t>;</w:t>
      </w:r>
    </w:p>
    <w:p w:rsidR="007A7E11" w:rsidRDefault="007A7E11" w:rsidP="007A7E11">
      <w:pPr>
        <w:ind w:left="720"/>
        <w:jc w:val="both"/>
        <w:rPr>
          <w:rFonts w:asciiTheme="minorHAnsi" w:hAnsiTheme="minorHAnsi" w:cstheme="minorHAnsi"/>
        </w:rPr>
      </w:pP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lastRenderedPageBreak/>
        <w:t xml:space="preserve">Encaminhar a presente Deliberação </w:t>
      </w:r>
      <w:r w:rsidR="006245B2">
        <w:rPr>
          <w:rFonts w:asciiTheme="minorHAnsi" w:hAnsiTheme="minorHAnsi" w:cstheme="minorHAnsi"/>
        </w:rPr>
        <w:t xml:space="preserve">à </w:t>
      </w:r>
      <w:r w:rsidR="00024BAB">
        <w:rPr>
          <w:rFonts w:asciiTheme="minorHAnsi" w:hAnsiTheme="minorHAnsi" w:cstheme="minorHAnsi"/>
        </w:rPr>
        <w:t>Secretaria Geral</w:t>
      </w:r>
      <w:r w:rsidR="006245B2">
        <w:rPr>
          <w:rFonts w:asciiTheme="minorHAnsi" w:hAnsiTheme="minorHAnsi" w:cstheme="minorHAnsi"/>
        </w:rPr>
        <w:t xml:space="preserve">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  <w:bookmarkStart w:id="0" w:name="_GoBack"/>
      <w:bookmarkEnd w:id="0"/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FC2128" w:rsidRDefault="00FC2128" w:rsidP="00FC2128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20 (vinte)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Orildes Tres,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>.</w:t>
      </w: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Pr="000245F1" w:rsidRDefault="00FC2128" w:rsidP="00FC212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C2128" w:rsidRDefault="00FC2128" w:rsidP="00FC2128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FC2128" w:rsidRPr="000245F1" w:rsidRDefault="00FC2128" w:rsidP="00FC2128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FC2128" w:rsidRPr="000245F1" w:rsidRDefault="00FC2128" w:rsidP="00FC2128">
      <w:pPr>
        <w:rPr>
          <w:rFonts w:asciiTheme="minorHAnsi" w:hAnsiTheme="minorHAnsi" w:cstheme="minorHAnsi"/>
        </w:rPr>
        <w:sectPr w:rsidR="00FC2128" w:rsidRPr="000245F1" w:rsidSect="00BD11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077" w:footer="340" w:gutter="0"/>
          <w:cols w:space="708"/>
          <w:titlePg/>
          <w:docGrid w:linePitch="326"/>
        </w:sectPr>
      </w:pP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FC212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FC212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1367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A7E11">
              <w:rPr>
                <w:rFonts w:asciiTheme="minorHAnsi" w:hAnsiTheme="minorHAnsi" w:cstheme="minorHAnsi"/>
                <w:sz w:val="22"/>
                <w:szCs w:val="22"/>
              </w:rPr>
              <w:t>1400033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FC212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C2128" w:rsidRPr="000245F1" w:rsidRDefault="00FC2128" w:rsidP="00FC212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FC2128" w:rsidRPr="000245F1" w:rsidRDefault="00FC2128" w:rsidP="00FC2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Default="00CD5F76" w:rsidP="002031C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FC212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1367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A7E11">
              <w:rPr>
                <w:rFonts w:asciiTheme="minorHAnsi" w:hAnsiTheme="minorHAnsi" w:cstheme="minorHAnsi"/>
                <w:sz w:val="20"/>
                <w:szCs w:val="22"/>
              </w:rPr>
              <w:t>R</w:t>
            </w:r>
            <w:r w:rsidR="007A7E11" w:rsidRPr="007A7E11">
              <w:rPr>
                <w:rFonts w:asciiTheme="minorHAnsi" w:hAnsiTheme="minorHAnsi" w:cstheme="minorHAnsi"/>
                <w:sz w:val="20"/>
                <w:szCs w:val="22"/>
              </w:rPr>
              <w:t xml:space="preserve">egulamentação de </w:t>
            </w:r>
            <w:r w:rsidR="002031CC">
              <w:rPr>
                <w:rFonts w:asciiTheme="minorHAnsi" w:hAnsiTheme="minorHAnsi" w:cstheme="minorHAnsi"/>
                <w:sz w:val="20"/>
                <w:szCs w:val="22"/>
              </w:rPr>
              <w:t>Processo Administrativo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FC2128" w:rsidRPr="000245F1" w:rsidRDefault="00FC2128" w:rsidP="002031C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FC2128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(20) Ausências (01</w:t>
            </w:r>
            <w:proofErr w:type="gramStart"/>
            <w:r w:rsidR="00FC2128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="00FC2128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(21)</w:t>
            </w:r>
            <w:r w:rsidR="00FC2128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FC212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nil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FC212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="00FC2128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  <w:tr w:rsidR="00FC2128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</w:tcPr>
          <w:p w:rsidR="00FC2128" w:rsidRPr="000245F1" w:rsidRDefault="00FC2128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</w:tcPr>
          <w:p w:rsidR="00FC2128" w:rsidRPr="000245F1" w:rsidRDefault="00FC2128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</w:tbl>
    <w:p w:rsidR="00D522BD" w:rsidRDefault="00D522BD" w:rsidP="00CD5F76">
      <w:pPr>
        <w:jc w:val="both"/>
        <w:rPr>
          <w:rFonts w:asciiTheme="minorHAnsi" w:hAnsiTheme="minorHAnsi" w:cstheme="minorHAnsi"/>
        </w:rPr>
      </w:pPr>
    </w:p>
    <w:p w:rsidR="00D522BD" w:rsidRDefault="00D522B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522BD" w:rsidRPr="00D522BD" w:rsidRDefault="00D522BD" w:rsidP="00D52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D522BD">
        <w:rPr>
          <w:rFonts w:asciiTheme="minorHAnsi" w:eastAsia="Arial" w:hAnsiTheme="minorHAnsi" w:cstheme="minorHAnsi"/>
          <w:b/>
          <w:color w:val="000000"/>
          <w:sz w:val="22"/>
          <w:szCs w:val="22"/>
        </w:rPr>
        <w:lastRenderedPageBreak/>
        <w:t>ANEXO I</w:t>
      </w:r>
      <w:bookmarkStart w:id="1" w:name="_heading=h.gjdgxs" w:colFirst="0" w:colLast="0"/>
      <w:bookmarkEnd w:id="1"/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PORTARIA NORMATIVA N. 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pt-BR"/>
        </w:rPr>
        <w:t>[NÚMERO]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, DE 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pt-BR"/>
        </w:rPr>
        <w:t>[DIA]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DE 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pt-BR"/>
        </w:rPr>
        <w:t>[MÊS]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DE 2021.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ind w:left="4253"/>
        <w:jc w:val="both"/>
        <w:rPr>
          <w:rFonts w:asciiTheme="minorHAnsi" w:eastAsia="Times New Roman" w:hAnsiTheme="minorHAnsi" w:cstheme="minorHAnsi"/>
          <w:sz w:val="20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0"/>
          <w:szCs w:val="22"/>
          <w:lang w:eastAsia="pt-BR"/>
        </w:rPr>
        <w:t>Dispõe sobre a regulamentação do processo administrativo que tem por objetivo averiguar o cumprimento das diretrizes curriculares e demais condições para ensino de arquitetura e urbanismo no âmbito do Estado do Rio Grande do Sul e dá outras providências.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</w:t>
      </w: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PRESIDENTE DO CONSELHO DE ARQUITETURA E URBANISMO DO RIO GRANDE DO SUL – CAU/RS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, no uso das atribuições que lhe conferem o art. 35, inciso III, da Lei n. 12.378, de 31 de dezembro de 2010, e o artigos 151, inciso XLV, e 152, do Regimento Interno do CAU/RS, aprovado pela Deliberação Plenária DPL n. 811/2017, e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princípio da eficiência, previsto no art. 37, da Constituição Federal;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Pr="00D522BD">
        <w:rPr>
          <w:rFonts w:asciiTheme="minorHAnsi" w:hAnsiTheme="minorHAnsi" w:cstheme="minorHAnsi"/>
          <w:sz w:val="22"/>
          <w:szCs w:val="22"/>
        </w:rPr>
        <w:t xml:space="preserve">a Lei n. 12.378/2010, que regulamenta o exercício da Arquitetura e Urbanismo; cria o CAU/BR e os Conselhos de Arquitetura e Urbanismo dos Estados e do Distrito Federal - </w:t>
      </w:r>
      <w:proofErr w:type="spellStart"/>
      <w:r w:rsidRPr="00D522BD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D522BD">
        <w:rPr>
          <w:rFonts w:asciiTheme="minorHAnsi" w:hAnsiTheme="minorHAnsi" w:cstheme="minorHAnsi"/>
          <w:sz w:val="22"/>
          <w:szCs w:val="22"/>
        </w:rPr>
        <w:t xml:space="preserve"> -, estabelece, em seu </w:t>
      </w: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art. 3º, que </w:t>
      </w:r>
      <w:r w:rsidRPr="00D522BD">
        <w:rPr>
          <w:rFonts w:asciiTheme="minorHAnsi" w:eastAsia="Calibri" w:hAnsiTheme="minorHAnsi" w:cstheme="minorHAnsi"/>
          <w:i/>
          <w:sz w:val="22"/>
          <w:szCs w:val="22"/>
          <w:highlight w:val="white"/>
        </w:rPr>
        <w:t>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o art. 4º, da Lei n. 12.378/2010, o qual dispõe que </w:t>
      </w:r>
      <w:r w:rsidRPr="00D522BD">
        <w:rPr>
          <w:rFonts w:asciiTheme="minorHAnsi" w:eastAsia="Calibri" w:hAnsiTheme="minorHAnsi" w:cstheme="minorHAnsi"/>
          <w:i/>
          <w:sz w:val="22"/>
          <w:szCs w:val="22"/>
        </w:rPr>
        <w:t>O CAU/BR organizará e manterá atualizado cadastro nacional das escolas e faculdades de arquitetura e urbanismo, incluindo o currículo de todos os cursos oferecidos e os projetos pedagógicos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22BD">
        <w:rPr>
          <w:rFonts w:asciiTheme="minorHAnsi" w:hAnsiTheme="minorHAnsi" w:cstheme="minorHAnsi"/>
          <w:sz w:val="22"/>
          <w:szCs w:val="22"/>
        </w:rPr>
        <w:t xml:space="preserve">Considerando o art. 6º, incisos I e II, </w:t>
      </w: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>da Lei n. 12.378/2010</w:t>
      </w:r>
      <w:r w:rsidRPr="00D522BD">
        <w:rPr>
          <w:rFonts w:asciiTheme="minorHAnsi" w:hAnsiTheme="minorHAnsi" w:cstheme="minorHAnsi"/>
          <w:sz w:val="22"/>
          <w:szCs w:val="22"/>
        </w:rPr>
        <w:t>, o qual estabelece como requisitos para o registro de profissional no CAU a capacidade civil e diploma de graduação em arquitetura e urbanismo, obtido em instituição de ensino superior oficialmente reconhecida pelo poder público;</w:t>
      </w:r>
    </w:p>
    <w:p w:rsidR="00D522BD" w:rsidRPr="00D522BD" w:rsidRDefault="00D522BD" w:rsidP="00D522B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522BD" w:rsidRPr="00D522BD" w:rsidRDefault="00D522BD" w:rsidP="00D522B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22BD">
        <w:rPr>
          <w:rFonts w:asciiTheme="minorHAnsi" w:hAnsiTheme="minorHAnsi" w:cstheme="minorHAnsi"/>
          <w:sz w:val="22"/>
          <w:szCs w:val="22"/>
        </w:rPr>
        <w:t xml:space="preserve">Considerando o art. 61, da Lei n. 12.378/2010, que institui a Comissão Permanente de Ensino e Formação, bem como Colegiado de Entidades Nacionais, concedendo aos </w:t>
      </w:r>
      <w:proofErr w:type="spellStart"/>
      <w:r w:rsidRPr="00D522BD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D522BD">
        <w:rPr>
          <w:rFonts w:asciiTheme="minorHAnsi" w:hAnsiTheme="minorHAnsi" w:cstheme="minorHAnsi"/>
          <w:sz w:val="22"/>
          <w:szCs w:val="22"/>
        </w:rPr>
        <w:t xml:space="preserve"> competência para tratar das questões do ensino da Arquitetura e Urbanismo.</w:t>
      </w:r>
    </w:p>
    <w:p w:rsidR="00D522BD" w:rsidRPr="00D522BD" w:rsidRDefault="00D522BD" w:rsidP="00D522B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522BD" w:rsidRPr="00D522BD" w:rsidRDefault="00D522BD" w:rsidP="00D522BD">
      <w:pPr>
        <w:tabs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D522BD">
        <w:rPr>
          <w:rFonts w:asciiTheme="minorHAnsi" w:hAnsiTheme="minorHAnsi" w:cstheme="minorHAnsi"/>
          <w:sz w:val="22"/>
          <w:szCs w:val="22"/>
        </w:rPr>
        <w:t xml:space="preserve">Considerando a Resolução CAU/BR n. 018/2012, que dispõe sobre os registros de profissionais no Conselho de Arquitetura e Urbanismo, estabelece no art. 8° que </w:t>
      </w:r>
      <w:r w:rsidRPr="00D522BD">
        <w:rPr>
          <w:rFonts w:asciiTheme="minorHAnsi" w:hAnsiTheme="minorHAnsi" w:cstheme="minorHAnsi"/>
          <w:i/>
          <w:sz w:val="22"/>
          <w:szCs w:val="22"/>
        </w:rPr>
        <w:t>a Comissão Permanente de Ensino e Formação Profissional do CAU/UF, em função da análise da qualificação acadêmica do portador de diploma ou certificado, concederá o registro em conformidade com o currículo de formação escolar.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jc w:val="both"/>
        <w:rPr>
          <w:rFonts w:asciiTheme="minorHAnsi" w:eastAsia="Calibri" w:hAnsiTheme="minorHAnsi" w:cstheme="minorHAnsi"/>
          <w:i/>
          <w:sz w:val="22"/>
          <w:szCs w:val="22"/>
          <w:highlight w:val="white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que o Código de Ética e Disciplina, aprovado pela Resolução CAU/BR n. 052/2013, estabelece no Princípio n. 1.1.1, que </w:t>
      </w:r>
      <w:r w:rsidRPr="00D522BD">
        <w:rPr>
          <w:rFonts w:asciiTheme="minorHAnsi" w:eastAsia="Calibri" w:hAnsiTheme="minorHAnsi" w:cstheme="minorHAnsi"/>
          <w:i/>
          <w:sz w:val="22"/>
          <w:szCs w:val="22"/>
          <w:highlight w:val="white"/>
        </w:rPr>
        <w:t>o arquiteto e urbanista deve deter por formação, um conjunto sistematizado de conhecimentos das artes, das ciências e as técnicas, assim como das teorias e práticas específicas da Arquitetura e Urbanismo</w:t>
      </w: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, e estabelece na Regra n. 3.2.1, que </w:t>
      </w:r>
      <w:r w:rsidRPr="00D522BD">
        <w:rPr>
          <w:rFonts w:asciiTheme="minorHAnsi" w:eastAsia="Calibri" w:hAnsiTheme="minorHAnsi" w:cstheme="minorHAnsi"/>
          <w:i/>
          <w:sz w:val="22"/>
          <w:szCs w:val="22"/>
          <w:highlight w:val="white"/>
        </w:rPr>
        <w:t>o arquiteto e urbanista deve assumir serviços profissionais somente quando estiver de posse das habilidades e dos conhecimentos artísticos, técnicos e científicos necessários à satisfação dos compromissos específicos a firmar com o contratante;</w:t>
      </w:r>
    </w:p>
    <w:p w:rsidR="00D522BD" w:rsidRPr="00D522BD" w:rsidRDefault="00D522BD" w:rsidP="00D522BD">
      <w:pPr>
        <w:jc w:val="both"/>
        <w:rPr>
          <w:rFonts w:asciiTheme="minorHAnsi" w:eastAsia="Calibri" w:hAnsiTheme="minorHAnsi" w:cstheme="minorHAnsi"/>
          <w:i/>
          <w:sz w:val="22"/>
          <w:szCs w:val="22"/>
          <w:highlight w:val="white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522BD">
        <w:rPr>
          <w:rFonts w:asciiTheme="minorHAnsi" w:hAnsiTheme="minorHAnsi" w:cstheme="minorHAnsi"/>
          <w:sz w:val="22"/>
          <w:szCs w:val="22"/>
        </w:rPr>
        <w:lastRenderedPageBreak/>
        <w:t xml:space="preserve">Considerando a Deliberação CEF-CAU/BR n. 019/2021, </w:t>
      </w:r>
      <w:r w:rsidRPr="00D522BD">
        <w:rPr>
          <w:rFonts w:asciiTheme="minorHAnsi" w:hAnsiTheme="minorHAnsi" w:cstheme="minorHAnsi"/>
          <w:iCs/>
          <w:sz w:val="22"/>
          <w:szCs w:val="22"/>
        </w:rPr>
        <w:t>que solicita aos CAU/UF, através de sua respectiva Comissão de Ensino e Formação, que na medida do conhecimento da existência de vagas autorizadas para cursos que se servem majoritariamente das ferramentas de ensino a distância proceda à solicitação de informações completas sobre esses cursos às IES responsáveis e comunique à CEF-CAU/BR.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Calibri" w:hAnsiTheme="minorHAnsi" w:cstheme="minorHAnsi"/>
          <w:sz w:val="22"/>
          <w:szCs w:val="22"/>
          <w:highlight w:val="white"/>
        </w:rPr>
        <w:t>Considerando um panorama atual negativo em respeito à qualidade de ensino da Arquitetura e Urbanismo, evidenciado por denúncias realizadas a este Conselho, e a necessidade de criação de procedimento administrativo específico para apurar as violações ao currículo e diretrizes do curso de graduação, considerando a situação de cada universidade, e permitido a elas o exercício da ampla defesa e do contraditório, com a participação do Ministério da Educação, para então determinar a viabilidade de registro profissional por deficiência geral na prestação do serviço educacional, passível de ocasionar riscos à sociedade, indicando as medidas necessárias para resolver o problema.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RESOLVE: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DAS DISPOSIÇÕES PRELIMINARES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Por meio da presente Portaria Normativa, regulamentam-se a forma, o procedimento e os critérios para análise de possíveis irregularidades nas condições de oferta, no conteúdo e na forma de prestação dos cursos de Arquitetura e Urbanismo pelas Instituições de Ensino Superior – IES, na modalidade presencial ou à distância, em aspectos que venham a repercutir na qualidade do ensino, tais como: atendimento às normativas vigentes, metodologias de ensino, instalações, realização de práticas, utilização de Tecnologias da Informação e Comunicação (</w:t>
      </w:r>
      <w:proofErr w:type="spell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TIC’s</w:t>
      </w:r>
      <w:proofErr w:type="spell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) vinculadas à aprendizagem, como o AVA (Ambiente Virtual de Aprendizagem), dentre outros.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hAnsiTheme="minorHAnsi" w:cstheme="minorHAnsi"/>
          <w:sz w:val="22"/>
          <w:szCs w:val="22"/>
        </w:rPr>
        <w:tab/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Esse regramento tem o objetivo de disciplinar condutas, regras, critérios e procedimentos gerais a serem observados pelas unidades orgânicas no tocante ao processo administrativo referente à regularidade do ensino e da formação profissional, sem prejuízo das demais regras aplicáveis ao tema.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análise realizada pelo CAU/RS deverá levar em consideração as normativas emitidas pelo Poder Público, pelo CAU e pelo MEC, dentre as quais, em especial, destacam-se:</w:t>
      </w:r>
    </w:p>
    <w:p w:rsidR="00D522BD" w:rsidRPr="00D522BD" w:rsidRDefault="00D522BD" w:rsidP="00D522BD">
      <w:pPr>
        <w:pStyle w:val="PargrafodaLista"/>
        <w:numPr>
          <w:ilvl w:val="3"/>
          <w:numId w:val="37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Lei n. 9.394, de 1996, a qual estabelece as Diretrizes e Bases da Educação Nacional;</w:t>
      </w:r>
    </w:p>
    <w:p w:rsidR="00D522BD" w:rsidRPr="00D522BD" w:rsidRDefault="00D522BD" w:rsidP="00D522BD">
      <w:pPr>
        <w:pStyle w:val="PargrafodaLista"/>
        <w:numPr>
          <w:ilvl w:val="3"/>
          <w:numId w:val="37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Lei n. 12.378, de 2010, a qual regulamenta o exercício da Arquitetura e Urbanismo;</w:t>
      </w:r>
    </w:p>
    <w:p w:rsidR="00D522BD" w:rsidRPr="00D522BD" w:rsidRDefault="00D522BD" w:rsidP="00D522BD">
      <w:pPr>
        <w:pStyle w:val="PargrafodaLista"/>
        <w:numPr>
          <w:ilvl w:val="3"/>
          <w:numId w:val="37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As Diretrizes Curriculares Nacionais do curso de Arquitetura e Urbanismo, elaboradas pelo MEC, as quais orientam, organizam e sistematizam o planejamento curricular das Instituições de Ensino Superior – IES;</w:t>
      </w:r>
    </w:p>
    <w:p w:rsidR="00D522BD" w:rsidRPr="00D522BD" w:rsidRDefault="00D522BD" w:rsidP="00D522BD">
      <w:pPr>
        <w:pStyle w:val="PargrafodaLista"/>
        <w:numPr>
          <w:ilvl w:val="3"/>
          <w:numId w:val="37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As Resoluções do CAU/BR e demais normativas que tratam sobre o registro, o ensino e a regularidade dos cursos de Arquitetura e Urbanismo;</w:t>
      </w:r>
    </w:p>
    <w:p w:rsidR="00D522BD" w:rsidRPr="00D522BD" w:rsidRDefault="00D522BD" w:rsidP="00D522BD">
      <w:pPr>
        <w:pStyle w:val="PargrafodaLista"/>
        <w:numPr>
          <w:ilvl w:val="3"/>
          <w:numId w:val="37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As Deliberações e demais recomendações publicadas pelo CAU/RS.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II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 DENÚNCIA E DOS TRÂMITES INICIAIS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O CAU/RS aplicará medida interventiva aos cursos de Arquitetura e Urbanismo, por meio de Deliberação Plenária do CAU/RS, precedida do devido processo administrativo que assegure a ampla defesa e o contraditório.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O processo administrativo de verificação das condições de ensino será instaurado em razão de denúncia, de ofício ou mediante representação por escrito e identificada, para a qual possuem legitimidade: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Presidente do CAU/RS;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conselheiros do CAU/RS;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As comissões do CAU/RS;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alunos da IES objeto de apuração;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professores da IES objeto de apuração;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profissionais arquitetos e urbanistas;</w:t>
      </w:r>
    </w:p>
    <w:p w:rsidR="00D522BD" w:rsidRPr="00D522BD" w:rsidRDefault="00D522BD" w:rsidP="00D522BD">
      <w:pPr>
        <w:pStyle w:val="PargrafodaLista"/>
        <w:numPr>
          <w:ilvl w:val="3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Demais cidadãos que, de algum modo, consideram-se prejudicados.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Recebida, a denúncia será encaminhada à Gerência de Atendimento, que efetuará as diligências que julgar necessárias para confirmação das informações ou dos documentos que a fundamentam, cabendo-lhes juntar todas as informações constantes no banco de dados do SICCAU relacionadas aos fatos denunciados;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Havendo necessidade, a Gerência de Atendimento poderá efetuar diligências junto à Gerência de Fiscalização, especificando-as.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Cumpridas as diligências julgadas necessárias, lavrar-se-á o relatório circunstanciado, o qual, em conjunto com a denúncia, será remetido à Comissão de Ensino e Formação – CEF-CAU/RS, para designação de conselheiro relator, que se responsabilizará pela elaboração de parecer fundamentado acerca da existência de indícios de irregularidade em relação à IES denunciada.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conselheiro relator poderá, se julgar pertinente, solicitar diligências determinadas, especificando-as, bem como poderá solicitar a intimação da IES denunciada, para querendo, no prazo de 15 (quinze) dias, apresentar manifestação e esclarecimentos preliminares acerca dos fatos denunciados.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3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Esgotado o prazo do parágrafo anterior, apresentada ou não a manifestação da IES, o conselheiro relator deverá analisar os fatos denunciados e, no prazo de 15 (quinze) dias, apresentar parecer fundamentado acerca do acatamento ou do arquivamento sumário da denúncia efetuada.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Apresentado o parecer fundamentado, a CEF-CAU/RS emitirá Deliberação acerca do acatamento, ou não, da denúncia e da consequente instauração do processo administrativo, caso constatada a existência de indícios de irregularidade.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Não havendo indícios de irregularidade, a denúncia será arquivada.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Do arquivamento da denúncia, por ausência de indícios de irregularidade, caberá recurso, no prazo de 15 (quinze) dias, ao Plenário do CAU/RS.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III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DA INSTRUÇÃO PROCESSUAL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Acatada a denúncia, o processo será instaurado e remetido ao conselheiro relator, a quem competirá a condução do processo, a realização dos atos instrutórios e a elaboração do respectivo relatório e voto fundamentado.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No período destinado à fase de instrução, caberá ao conselheiro relator determinar as diligências necessárias à elucidação e ao esclarecimento dos fatos, bem como à formação de convicção acerca dos fatos denunciados, podendo se valer de qualquer meio de prova legalmente admitido.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Além de outras diligências, o conselheiro relator poderá designar data para realização de audiência, para colher o depoimento daqueles que possuam conhecimento acerca do tema e das peculiaridades da IES, como alunos ou professores, inclusive, poderá solicitar à fiscalização do CAU/RS a realização de diligências </w:t>
      </w:r>
      <w:r w:rsidRPr="00D522BD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in loco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colher determinadas informações a respeito das instalações do curso, especificando-as;</w:t>
      </w:r>
    </w:p>
    <w:p w:rsidR="00D522BD" w:rsidRPr="00D522BD" w:rsidRDefault="00D522BD" w:rsidP="00D522BD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Ao determinar a realização de diligências, o conselheiro relator deverá designar prazo razoável para o seu cumprimento, respeitando o prazo mínimo de 05 (cinco) dias.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fase de instrução processo administrativo deverá ser </w:t>
      </w:r>
      <w:proofErr w:type="gram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concluída</w:t>
      </w:r>
      <w:proofErr w:type="gram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no prazo de 90 (noventa) dias, contados do acatamento da denúncia, podendo ser prorrogado por iguais períodos, mediante justificativa apresentada pelo conselheiro relator e aprovada pela CEF-CAU/RS.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Instaurado o processo administrativo, citar-se-á a IES denunciada, intimando-a para apresentar, no prazo de 15 (quinze) dias, defesa escrita acerca dos fatos objeto de apuração, podendo juntar todos os documentos que julgar pertinentes, bem como solicitar a produção de determinadas provas, especificando-as.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A IES poderá se valer de acompanhamento por advogado, desde que devidamente constituído por meio de procuração.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Esgotado o prazo do artigo anterior, apresentada ou não a defesa da IES, o conselheiro relator deverá delimitar as questões postas à análise e proferir despacho com a indicação dos pontos controversos e das provas necessárias ao esclarecimento dos fatos, podendo designar a produção de quaisquer provas em direito admitidas.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Se julgar necessário, o conselheiro relator poderá formular questionário a ser encaminhado ao MEC, intimando-o a apresentar, no prazo de 15 (quinze) dias, informações ou esclarecimentos quanto aos indícios de irregularidade da IES.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Cumpridas as eventuais diligências, o conselheiro relator determinará a intimação, por meio de ofício, das partes para que, querendo, apresentem, no prazo de 15 (quinze) dias, suas alegações finais.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IV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DO JULGAMENTO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Seção I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Do Relatório e Voto Fundamentado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Apresentadas as alegações finais ou transcorrido o prazo sem sua apresentação, o conselheiro relator elaborará relatório e voto fundamentado sobre o processo, observadas as regras previstas no Regimento Interno do CAU/RS, o qual será submetido à CEF-CAU/RS para análise e julgamento.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7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relatório deverá conter os nomes das partes, o resumo dos fatos narrados na denúncia e das alegações apresentadas na defesa, bem como o registro cronológico das principais ocorrências havidas no processo.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7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voto fundamentado deverá conter a apreciação das questões de fato e de direito, em que o relator explicitará sua convicção por meio da análise das irregularidades apontadas, dos fatos apurados, dos argumentos apresentados, das provas produzidas e das alegações finais apresentadas, votando, ao final, pela improcedência da denúncia, com a extinção e o arquivamento do processo, caso não seja constatada qualquer irregularidade, ou pela procedência, determinando os efeitos da decisão, com a indicação da finalidade, da forma, do objeto, do prazo e das condições de resolução da(s) irregularidade(s) identificada(s) até o encerramento da medida interventiva;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7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revelia eventualmente constatada no processo não pode ser utilizada como fundamento para o julgamento da denúncia.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Seção II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Do Julgamento pela CEF-CAU/RS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CEF-CAU/RS deliberará acerca do relatório e do voto fundamentado, decidindo pela sua: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26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Aprovação, determinando os efeitos da decisão, indicando a finalidade, a forma, o objeto, o prazo e as condições de resolução </w:t>
      </w:r>
      <w:proofErr w:type="gram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da(</w:t>
      </w:r>
      <w:proofErr w:type="gram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s) irregularidade(s) identificada(s) até o encerramento da medida interventiva;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26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Rejeição, caso em que se escolherá, entre os conselheiros “vencedores” aquele que será o responsável pela elaboração do voto fundamentado apropriado à conclusão tomada pela Comissão.</w:t>
      </w:r>
    </w:p>
    <w:p w:rsidR="00D522BD" w:rsidRPr="00D522BD" w:rsidRDefault="00D522BD" w:rsidP="00D522BD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As eventuais divergências em relação ao conteúdo do voto fundamentado aprovado pela Comissão poderão ser registradas por escrito pelo conselheiro em voto divergente, o qual fará parte da respectiva Deliberação da CEF-CAU/RS.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Recebido o relatório e o voto fundamentado, o coordenador da comissão designará a data para realização da sessão de julgamento, intimando-se as partes interessadas para, querendo, fazer uso da palavra, por até 10 (dez) minutos, antes do início da discussão acerca do voto fundamento apresentado pelo conselheiro relator.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Encerrada a discussão, o julgamento pela CEF-CAU/RS se dará por maioria simples.</w:t>
      </w:r>
    </w:p>
    <w:p w:rsidR="00D522BD" w:rsidRPr="00D522BD" w:rsidRDefault="00D522BD" w:rsidP="00D522BD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É facultado ao relator originário, à vista do encaminhamento das discussões, reformular seu relatório e voto fundamentado, caso em que permanecerá como responsável por sua redação.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8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Havendo pedido de vista, o voto original e o voto-vista serão apreciados na forma regimental, cabendo ao relator do voto vencedor a redação do relatório e voto fundamentado que embasará a deliberação.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As partes serão intimadas acerca do resultado do julgamento, sendo-lhes facultada a interposição de recurso ao Plenário do CAU/RS, no prazo de 15 (quinze) dias.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6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Interposto recurso ao Plenário, intimar-se-á a parte contrária para contrarrazões, no prazo de 15 (quinze) dias.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6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Transcorrido o prazo sem a interposição de recurso, dar-se-á o trânsito em julgado da decisão, a qual será encaminhada ao Plenário do CAU/RS para homologação.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V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DO RECURSO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Havendo a interposição de </w:t>
      </w:r>
      <w:proofErr w:type="gram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recurso(</w:t>
      </w:r>
      <w:proofErr w:type="gram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s) ao Plenário do CAU/RS acerca do julgamento efetuado pela Comissão, esse(s) e as eventuais contrarrazões serão distribuídos para um dos demais conselheiros, excluídos os membros da CEF-CAU/RS.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Ao relator do recurso compete a análise dos argumentos apresentados e a elaboração do respectivo relatório e voto fundamentado, observando-se as regras dispostas na Seção I, do Capítulo IV.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Plenário do CAU/RS deliberará acerca do relatório e do voto fundamentado apresentado pelo relator, decidindo pela sua: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26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Aprovação, determinando os efeitos da decisão, indicando a finalidade, a forma, o objeto, o prazo e as condições de resolução </w:t>
      </w:r>
      <w:proofErr w:type="gram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da(</w:t>
      </w:r>
      <w:proofErr w:type="gram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s) irregularidade(s) identificada(s) até o encerramento da medida interventiva;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30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Rejeição, caso em que se escolherá, entre os conselheiros “vencedores” aquele se será o responsável pela elaboração do voto fundamentado apropriado à conclusão tomada pelo Plenário.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As eventuais divergências em relação ao conteúdo do voto fundamentado aprovado pelo Plenário poderão ser registradas por escrito pelo conselheiro em voto divergente, o qual fará parte da respectiva Deliberação Plenária.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Recebido o relatório e o voto fundamentado, o Presidente do CAU/RS designará a data para realização da sessão de julgamento, intimando-se as partes interessadas para, querendo, fazer uso da palavra, por até 10 (dez) minutos, antes do início da discussão acerca do voto fundamento apresentado pelo conselheiro relator.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Encerrada a discussão, o julgamento pelo Plenário do CAU/RS se dará por maioria simples.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É facultado ao relator do recurso, à vista do encaminhamento das discussões, reformular seu relatório e voto fundamentado, caso em que permanecerá como responsável por sua redação.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29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Havendo pedido de vista, o voto original e o voto-vista serão apreciados na forma regimental, cabendo ao relator do voto vencedor a redação do relatório e voto fundamentado que embasará a deliberação.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Efetuado o julgamento do recurso, a parte será intimada da Deliberação Plenária do CAU/RS para ciência, oportunidade em que se dará o trânsito em julgado.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VI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 COMUNICAÇÃO À CEF-CAU/BR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Transitado em julgado, o processo será remetido à CEF-CAU/BR para conhecimento, solicitando-se a atualização das informações do cadastro do curso no SICCAU e a remessa de informação aos demais CAU/UF para conhecimento.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VII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DAS MODALIDADES DE INTERVENÇÃO E DA REABILITAÇÃO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medida interventiva será efetivada, conforme o caso, por meio das seguintes formas:</w:t>
      </w:r>
    </w:p>
    <w:p w:rsidR="00D522BD" w:rsidRPr="00D522BD" w:rsidRDefault="00D522BD" w:rsidP="00D522BD">
      <w:pPr>
        <w:pStyle w:val="PargrafodaLista"/>
        <w:numPr>
          <w:ilvl w:val="3"/>
          <w:numId w:val="31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proofErr w:type="spell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Desacreditação</w:t>
      </w:r>
      <w:proofErr w:type="spell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pública;</w:t>
      </w:r>
    </w:p>
    <w:p w:rsidR="00D522BD" w:rsidRPr="00D522BD" w:rsidRDefault="00D522BD" w:rsidP="00D522BD">
      <w:pPr>
        <w:pStyle w:val="PargrafodaLista"/>
        <w:numPr>
          <w:ilvl w:val="3"/>
          <w:numId w:val="31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Restrição ao registro dos egressos da IES;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Para efeito dessa Portaria Normativa, considera-se: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33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proofErr w:type="spellStart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Desacreditação</w:t>
      </w:r>
      <w:proofErr w:type="spellEnd"/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pública, a medida interventiva que consiste na publicação de nota fundamentada sobre as irregularidades averiguadas na IES, em razão das quais se desaconselha o ingresso de alunos;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33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Restrição ao registro dos egressos da IES, a medida interventiva que consiste na negativa de registro àqueles que se graduaram em arquitetura e urbanismo no período em que se verificarem as irregularidades da IES;</w:t>
      </w:r>
    </w:p>
    <w:p w:rsidR="00D522BD" w:rsidRPr="00D522BD" w:rsidRDefault="00D522BD" w:rsidP="00D522BD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forma de intervenção deverá ser adotada por meio de decisão fundamentada, na qual deverão constar a indicação pormenorizada da irregularidade averiguada no processo administrativo, no que diz respeito à Lei n. 12.378, de 2010, às Resoluções do CAU/BR, às Diretrizes Curriculares Nacionais de Arquitetura e Urbanismo e demais normativos do MEC, definindo-se, inclusive, o período e o prazo de duração da medida, nos casos em que essa for temporária, bem como os efeitos dela resultantes.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IES será reabilitada, de ofício ou mediante requerimento, fazendo-se cessar qualquer medida interventiva que tenha sido adotada, no momento em que demonstrar a correção das irregularidades verificados no processo.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Parágrafo único.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ab/>
        <w:t>O requerimento de reabilitação será autuado nos autos do processo administrativo em que se determinou a medida interventiva, cabendo à IES juntar todo e qualquer meio de prova apta a demonstrar a correção das irregularidades apontadas.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IV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DOS PRAZOS E DA COMUNICAÇÃO DOS ATOS PROCESSUAIS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prazos processuais começam a contar a partir da data em que se efetiva a citação ou a intimação, podendo essas se darem por qualquer meio em direito admitido, desde que assegurada a ciência em relação ao seu conteúdo.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prazos expressos em dias contam-se de modo contínuo, excluindo-se o dia do começo e incluindo-se o dia do vencimento.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Considera-se prorrogado o prazo até o primeiro dia útil seguinte, se o vencimento cair em dia em que não houver expediente no CAU/RS, bem como no caso de encerramento antes da hora normal.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2"/>
          <w:numId w:val="3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prazos previstos nesta portaria poderão ser prorrogados a critério da autoridade competente, mediante requerimento fundamentado do interessado.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atos de comunicação processual deverão conter: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identificação da parte citada ou intimada;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finalidade do ato;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 prazo para a prática de eventual ato processual, com indicações dos fundamentos legais pertinentes;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data, a ora e o local em que deve a parte comparecer, caso seja necessário;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informação sobre a necessidade de comparecimento pessoal ou, facultativamente, por representante;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A informação acerca da continuidade do processo independentemente do comparecimento;</w:t>
      </w:r>
    </w:p>
    <w:p w:rsidR="00D522BD" w:rsidRPr="00D522BD" w:rsidRDefault="00D522BD" w:rsidP="00D522BD">
      <w:pPr>
        <w:pStyle w:val="PargrafodaLista"/>
        <w:numPr>
          <w:ilvl w:val="3"/>
          <w:numId w:val="35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Outras informações que se fizerem necessárias.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CAPÍTULO IV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DAS DISPOSIÇÕES FINAIS</w:t>
      </w:r>
    </w:p>
    <w:p w:rsidR="00D522BD" w:rsidRPr="00D522BD" w:rsidRDefault="00D522BD" w:rsidP="00D522B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Sanadas as irregularidades, o processo administrativo será encerrado, não isentando a responsabilização pessoal nas esferas cível, administrativa e penal dos envolvidos.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Os casos omissos serão decididos pela Gerência Geral do CAU/RS.</w:t>
      </w:r>
    </w:p>
    <w:p w:rsidR="00D522BD" w:rsidRPr="00D522BD" w:rsidRDefault="00D522BD" w:rsidP="00D522BD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pStyle w:val="PargrafodaLista"/>
        <w:numPr>
          <w:ilvl w:val="1"/>
          <w:numId w:val="24"/>
        </w:numPr>
        <w:shd w:val="clear" w:color="auto" w:fill="FFFFFF"/>
        <w:tabs>
          <w:tab w:val="left" w:pos="567"/>
          <w:tab w:val="left" w:pos="851"/>
          <w:tab w:val="left" w:pos="1701"/>
        </w:tabs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>Esta Portaria entra em vigor na data de sua publicação no sítio eletrônico do CAU/RS.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Pr="00D522BD">
        <w:rPr>
          <w:rFonts w:asciiTheme="minorHAnsi" w:eastAsia="Times New Roman" w:hAnsiTheme="minorHAnsi" w:cstheme="minorHAnsi"/>
          <w:sz w:val="22"/>
          <w:szCs w:val="22"/>
          <w:highlight w:val="lightGray"/>
          <w:lang w:eastAsia="pt-BR"/>
        </w:rPr>
        <w:t>[dia]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</w:t>
      </w:r>
      <w:r w:rsidRPr="00D522BD">
        <w:rPr>
          <w:rFonts w:asciiTheme="minorHAnsi" w:eastAsia="Times New Roman" w:hAnsiTheme="minorHAnsi" w:cstheme="minorHAnsi"/>
          <w:sz w:val="22"/>
          <w:szCs w:val="22"/>
          <w:highlight w:val="lightGray"/>
          <w:lang w:eastAsia="pt-BR"/>
        </w:rPr>
        <w:t>[mês]</w:t>
      </w:r>
      <w:r w:rsidRPr="00D522B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2021.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lastRenderedPageBreak/>
        <w:t>Tiago Holzmann da Silva</w:t>
      </w:r>
    </w:p>
    <w:p w:rsidR="00D522BD" w:rsidRPr="00D522BD" w:rsidRDefault="00D522BD" w:rsidP="00D522BD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D522BD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Presidente do CAU/RS</w:t>
      </w:r>
    </w:p>
    <w:p w:rsidR="00D522BD" w:rsidRPr="00726705" w:rsidRDefault="00D522BD" w:rsidP="00D52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:rsidR="00D213CD" w:rsidRPr="00AB4908" w:rsidRDefault="00D213CD" w:rsidP="00CD5F76">
      <w:pPr>
        <w:jc w:val="both"/>
        <w:rPr>
          <w:rFonts w:asciiTheme="minorHAnsi" w:hAnsiTheme="minorHAnsi" w:cstheme="minorHAnsi"/>
        </w:rPr>
      </w:pPr>
    </w:p>
    <w:sectPr w:rsidR="00D213CD" w:rsidRPr="00AB4908" w:rsidSect="00CD5F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851" w:bottom="851" w:left="1701" w:header="141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Pr="005950FA" w:rsidRDefault="00FC212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2128" w:rsidRPr="005F2A2D" w:rsidRDefault="00FC212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Pr="0093154B" w:rsidRDefault="00FC2128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2128" w:rsidRPr="003F1946" w:rsidRDefault="00FC212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A97E5D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FC2128" w:rsidRPr="003F1946" w:rsidRDefault="00FC212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Pr="0093154B" w:rsidRDefault="00FC2128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2128" w:rsidRDefault="00FC212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C2128" w:rsidRPr="000245F1" w:rsidRDefault="00FC2128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A97E5D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FC2128" w:rsidRPr="003F1946" w:rsidRDefault="00FC212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97E5D">
          <w:rPr>
            <w:rFonts w:ascii="DaxCondensed" w:hAnsi="DaxCondensed" w:cs="Arial"/>
            <w:noProof/>
            <w:color w:val="2C778C"/>
            <w:sz w:val="20"/>
            <w:szCs w:val="20"/>
          </w:rPr>
          <w:t>12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97E5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Pr="009E4E5A" w:rsidRDefault="00FC212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9DA53C9" wp14:editId="57CD128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714C639C" wp14:editId="1A965C1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Pr="009E4E5A" w:rsidRDefault="00FC2128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1556F6E2" wp14:editId="4449F57F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28" w:rsidRDefault="00FC2128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645BE838" wp14:editId="34E89971">
          <wp:simplePos x="0" y="0"/>
          <wp:positionH relativeFrom="page">
            <wp:align>left</wp:align>
          </wp:positionH>
          <wp:positionV relativeFrom="paragraph">
            <wp:posOffset>-684475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28" w:rsidRDefault="00FC2128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224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CB410B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3A1B04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6811C3"/>
    <w:multiLevelType w:val="multilevel"/>
    <w:tmpl w:val="EB70E93E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1B6C1C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585A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5D2BDC"/>
    <w:multiLevelType w:val="multilevel"/>
    <w:tmpl w:val="E548ADD8"/>
    <w:numStyleLink w:val="Flvioartigos"/>
  </w:abstractNum>
  <w:abstractNum w:abstractNumId="11" w15:restartNumberingAfterBreak="0">
    <w:nsid w:val="36BC0329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14B8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79CD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F456F55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0D02519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62900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E458B9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CB1BF8"/>
    <w:multiLevelType w:val="multilevel"/>
    <w:tmpl w:val="18BE73D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3F5E43"/>
    <w:multiLevelType w:val="hybridMultilevel"/>
    <w:tmpl w:val="3D36A02A"/>
    <w:lvl w:ilvl="0" w:tplc="E2FC8E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5917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1778B0"/>
    <w:multiLevelType w:val="multilevel"/>
    <w:tmpl w:val="3902533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12"/>
  </w:num>
  <w:num w:numId="5">
    <w:abstractNumId w:val="20"/>
  </w:num>
  <w:num w:numId="6">
    <w:abstractNumId w:val="35"/>
  </w:num>
  <w:num w:numId="7">
    <w:abstractNumId w:val="31"/>
  </w:num>
  <w:num w:numId="8">
    <w:abstractNumId w:val="22"/>
  </w:num>
  <w:num w:numId="9">
    <w:abstractNumId w:val="14"/>
  </w:num>
  <w:num w:numId="10">
    <w:abstractNumId w:val="21"/>
  </w:num>
  <w:num w:numId="11">
    <w:abstractNumId w:val="24"/>
  </w:num>
  <w:num w:numId="12">
    <w:abstractNumId w:val="6"/>
  </w:num>
  <w:num w:numId="13">
    <w:abstractNumId w:val="30"/>
  </w:num>
  <w:num w:numId="14">
    <w:abstractNumId w:val="18"/>
  </w:num>
  <w:num w:numId="15">
    <w:abstractNumId w:val="7"/>
  </w:num>
  <w:num w:numId="16">
    <w:abstractNumId w:val="29"/>
  </w:num>
  <w:num w:numId="17">
    <w:abstractNumId w:val="36"/>
  </w:num>
  <w:num w:numId="18">
    <w:abstractNumId w:val="28"/>
  </w:num>
  <w:num w:numId="19">
    <w:abstractNumId w:val="32"/>
  </w:num>
  <w:num w:numId="20">
    <w:abstractNumId w:val="1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2">
      <w:lvl w:ilvl="2">
        <w:start w:val="1"/>
        <w:numFmt w:val="ordinal"/>
        <w:lvlText w:val="§ %3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1">
    <w:abstractNumId w:val="1"/>
  </w:num>
  <w:num w:numId="22">
    <w:abstractNumId w:val="16"/>
  </w:num>
  <w:num w:numId="23">
    <w:abstractNumId w:val="8"/>
  </w:num>
  <w:num w:numId="24">
    <w:abstractNumId w:val="4"/>
  </w:num>
  <w:num w:numId="25">
    <w:abstractNumId w:val="3"/>
  </w:num>
  <w:num w:numId="26">
    <w:abstractNumId w:val="15"/>
  </w:num>
  <w:num w:numId="27">
    <w:abstractNumId w:val="11"/>
  </w:num>
  <w:num w:numId="28">
    <w:abstractNumId w:val="23"/>
  </w:num>
  <w:num w:numId="29">
    <w:abstractNumId w:val="27"/>
  </w:num>
  <w:num w:numId="30">
    <w:abstractNumId w:val="5"/>
  </w:num>
  <w:num w:numId="31">
    <w:abstractNumId w:val="17"/>
  </w:num>
  <w:num w:numId="32">
    <w:abstractNumId w:val="0"/>
  </w:num>
  <w:num w:numId="33">
    <w:abstractNumId w:val="33"/>
  </w:num>
  <w:num w:numId="34">
    <w:abstractNumId w:val="13"/>
  </w:num>
  <w:num w:numId="35">
    <w:abstractNumId w:val="25"/>
  </w:num>
  <w:num w:numId="36">
    <w:abstractNumId w:val="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1F57"/>
    <w:rsid w:val="000145F6"/>
    <w:rsid w:val="00024BAB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31CC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864D1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23A1A"/>
    <w:rsid w:val="006245B2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A7E11"/>
    <w:rsid w:val="007B7B0D"/>
    <w:rsid w:val="007B7BB9"/>
    <w:rsid w:val="007C0FB9"/>
    <w:rsid w:val="007C3D71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795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1245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4923"/>
    <w:rsid w:val="009643CB"/>
    <w:rsid w:val="00970360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A01FF9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97E5D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2BD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62FF"/>
    <w:rsid w:val="00E663BC"/>
    <w:rsid w:val="00E8229E"/>
    <w:rsid w:val="00E85A95"/>
    <w:rsid w:val="00E87EAC"/>
    <w:rsid w:val="00E929B2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6A1"/>
    <w:rsid w:val="00F34C54"/>
    <w:rsid w:val="00F4620D"/>
    <w:rsid w:val="00F46AB6"/>
    <w:rsid w:val="00F55E0C"/>
    <w:rsid w:val="00F62212"/>
    <w:rsid w:val="00F73EFA"/>
    <w:rsid w:val="00FA1A43"/>
    <w:rsid w:val="00FB372F"/>
    <w:rsid w:val="00FC2128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Flvioartigos">
    <w:name w:val="Flávio_artigos"/>
    <w:uiPriority w:val="99"/>
    <w:rsid w:val="00D522B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B7A2-4829-47A4-AC6B-1F84D1AE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3856</Words>
  <Characters>20825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2021-11-11T13:01:00Z</cp:lastPrinted>
  <dcterms:created xsi:type="dcterms:W3CDTF">2021-10-26T17:30:00Z</dcterms:created>
  <dcterms:modified xsi:type="dcterms:W3CDTF">2021-11-12T00:39:00Z</dcterms:modified>
</cp:coreProperties>
</file>