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7631"/>
      </w:tblGrid>
      <w:tr w:rsidR="00FD4628" w:rsidRPr="00431139" w:rsidTr="006D49A1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31139" w:rsidRDefault="00FD4628" w:rsidP="005E54B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431139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31139" w:rsidRDefault="001B10AD" w:rsidP="00431139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31139">
              <w:rPr>
                <w:rFonts w:asciiTheme="minorHAnsi" w:hAnsiTheme="minorHAnsi" w:cstheme="minorHAnsi"/>
                <w:bCs/>
                <w:lang w:eastAsia="pt-BR"/>
              </w:rPr>
              <w:t xml:space="preserve">Processo Administrativo nº </w:t>
            </w:r>
            <w:r w:rsidR="00D25BD3" w:rsidRPr="00431139">
              <w:rPr>
                <w:rFonts w:asciiTheme="minorHAnsi" w:hAnsiTheme="minorHAnsi" w:cstheme="minorHAnsi"/>
                <w:bCs/>
                <w:lang w:eastAsia="pt-BR"/>
              </w:rPr>
              <w:t xml:space="preserve">619/2019 - </w:t>
            </w:r>
            <w:r w:rsidRPr="00431139">
              <w:rPr>
                <w:rFonts w:asciiTheme="minorHAnsi" w:hAnsiTheme="minorHAnsi" w:cstheme="minorHAnsi"/>
                <w:bCs/>
                <w:lang w:eastAsia="pt-BR"/>
              </w:rPr>
              <w:t>SICCAU nº 1186814 / 2020</w:t>
            </w:r>
          </w:p>
        </w:tc>
      </w:tr>
      <w:tr w:rsidR="00FD4628" w:rsidRPr="00431139" w:rsidTr="006D49A1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31139" w:rsidRDefault="00FD4628" w:rsidP="005E54B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431139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31139" w:rsidRDefault="00FD4628" w:rsidP="005E54B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31139">
              <w:rPr>
                <w:rFonts w:asciiTheme="minorHAnsi" w:hAnsiTheme="minorHAnsi" w:cstheme="minorHAnsi"/>
                <w:bCs/>
                <w:lang w:eastAsia="pt-BR"/>
              </w:rPr>
              <w:t xml:space="preserve">Plenário do CAU/RS </w:t>
            </w:r>
          </w:p>
        </w:tc>
      </w:tr>
      <w:tr w:rsidR="00FD4628" w:rsidRPr="00431139" w:rsidTr="006D49A1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31139" w:rsidRDefault="00FD4628" w:rsidP="001B10AD">
            <w:pPr>
              <w:rPr>
                <w:rFonts w:asciiTheme="minorHAnsi" w:hAnsiTheme="minorHAnsi" w:cstheme="minorHAnsi"/>
                <w:lang w:eastAsia="pt-BR"/>
              </w:rPr>
            </w:pPr>
            <w:r w:rsidRPr="00431139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31139" w:rsidRDefault="00D25BD3" w:rsidP="001B10AD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31139">
              <w:rPr>
                <w:rFonts w:asciiTheme="minorHAnsi" w:hAnsiTheme="minorHAnsi" w:cstheme="minorHAnsi"/>
              </w:rPr>
              <w:t>Rescisão</w:t>
            </w:r>
            <w:r w:rsidR="0088464D" w:rsidRPr="00431139">
              <w:rPr>
                <w:rFonts w:asciiTheme="minorHAnsi" w:hAnsiTheme="minorHAnsi" w:cstheme="minorHAnsi"/>
              </w:rPr>
              <w:t xml:space="preserve"> do contrato com a empresa OBRAS &amp; OBRAS CONSTRUTORA LTDA.</w:t>
            </w:r>
          </w:p>
        </w:tc>
      </w:tr>
    </w:tbl>
    <w:p w:rsidR="00544E3D" w:rsidRPr="00431139" w:rsidRDefault="00544E3D" w:rsidP="001B10A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431139">
        <w:rPr>
          <w:rFonts w:asciiTheme="minorHAnsi" w:hAnsiTheme="minorHAnsi" w:cstheme="minorHAnsi"/>
          <w:b/>
        </w:rPr>
        <w:t>DELIBERAÇÃO PLENÁRIA DP</w:t>
      </w:r>
      <w:r w:rsidR="0088464D" w:rsidRPr="00431139">
        <w:rPr>
          <w:rFonts w:asciiTheme="minorHAnsi" w:hAnsiTheme="minorHAnsi" w:cstheme="minorHAnsi"/>
          <w:b/>
        </w:rPr>
        <w:t>O</w:t>
      </w:r>
      <w:r w:rsidRPr="00431139">
        <w:rPr>
          <w:rFonts w:asciiTheme="minorHAnsi" w:hAnsiTheme="minorHAnsi" w:cstheme="minorHAnsi"/>
          <w:b/>
        </w:rPr>
        <w:t xml:space="preserve">/RS Nº </w:t>
      </w:r>
      <w:r w:rsidR="006D49A1" w:rsidRPr="00431139">
        <w:rPr>
          <w:rFonts w:asciiTheme="minorHAnsi" w:hAnsiTheme="minorHAnsi" w:cstheme="minorHAnsi"/>
          <w:b/>
        </w:rPr>
        <w:t>1331</w:t>
      </w:r>
      <w:r w:rsidRPr="00431139">
        <w:rPr>
          <w:rFonts w:asciiTheme="minorHAnsi" w:hAnsiTheme="minorHAnsi" w:cstheme="minorHAnsi"/>
          <w:b/>
        </w:rPr>
        <w:t>/20</w:t>
      </w:r>
      <w:r w:rsidR="0088464D" w:rsidRPr="00431139">
        <w:rPr>
          <w:rFonts w:asciiTheme="minorHAnsi" w:hAnsiTheme="minorHAnsi" w:cstheme="minorHAnsi"/>
          <w:b/>
        </w:rPr>
        <w:t>21</w:t>
      </w:r>
    </w:p>
    <w:p w:rsidR="00307A4D" w:rsidRDefault="00307A4D" w:rsidP="001C51BE">
      <w:pPr>
        <w:ind w:left="5103"/>
        <w:jc w:val="both"/>
        <w:rPr>
          <w:rFonts w:asciiTheme="minorHAnsi" w:hAnsiTheme="minorHAnsi" w:cstheme="minorHAnsi"/>
        </w:rPr>
      </w:pPr>
    </w:p>
    <w:p w:rsidR="00431139" w:rsidRPr="00431139" w:rsidRDefault="00431139" w:rsidP="001C51BE">
      <w:pPr>
        <w:ind w:left="5103"/>
        <w:jc w:val="both"/>
        <w:rPr>
          <w:rFonts w:asciiTheme="minorHAnsi" w:hAnsiTheme="minorHAnsi" w:cstheme="minorHAnsi"/>
        </w:rPr>
      </w:pPr>
    </w:p>
    <w:p w:rsidR="001C51BE" w:rsidRPr="00431139" w:rsidRDefault="001B10AD" w:rsidP="001C51BE">
      <w:pPr>
        <w:ind w:left="5103"/>
        <w:jc w:val="both"/>
        <w:rPr>
          <w:rFonts w:asciiTheme="minorHAnsi" w:hAnsiTheme="minorHAnsi" w:cstheme="minorHAnsi"/>
          <w:sz w:val="20"/>
        </w:rPr>
      </w:pPr>
      <w:r w:rsidRPr="00431139">
        <w:rPr>
          <w:rFonts w:asciiTheme="minorHAnsi" w:hAnsiTheme="minorHAnsi" w:cstheme="minorHAnsi"/>
          <w:sz w:val="20"/>
        </w:rPr>
        <w:t>Aprova</w:t>
      </w:r>
      <w:r w:rsidR="0088464D" w:rsidRPr="00431139">
        <w:rPr>
          <w:rFonts w:asciiTheme="minorHAnsi" w:hAnsiTheme="minorHAnsi" w:cstheme="minorHAnsi"/>
          <w:sz w:val="20"/>
        </w:rPr>
        <w:t xml:space="preserve"> a rescisão do contrato com a empresa OBRAS &amp; OBRAS CONSTRUTORA LTDA.</w:t>
      </w:r>
    </w:p>
    <w:p w:rsidR="0088464D" w:rsidRDefault="0088464D" w:rsidP="007221CF">
      <w:pPr>
        <w:jc w:val="both"/>
        <w:rPr>
          <w:rFonts w:asciiTheme="minorHAnsi" w:hAnsiTheme="minorHAnsi" w:cstheme="minorHAnsi"/>
          <w:sz w:val="20"/>
        </w:rPr>
      </w:pPr>
    </w:p>
    <w:p w:rsidR="00431139" w:rsidRPr="00431139" w:rsidRDefault="00431139" w:rsidP="007221CF">
      <w:pPr>
        <w:jc w:val="both"/>
        <w:rPr>
          <w:rFonts w:asciiTheme="minorHAnsi" w:hAnsiTheme="minorHAnsi" w:cstheme="minorHAnsi"/>
          <w:sz w:val="20"/>
        </w:rPr>
      </w:pPr>
    </w:p>
    <w:p w:rsidR="001B10AD" w:rsidRPr="00431139" w:rsidRDefault="001B10AD" w:rsidP="001B10AD">
      <w:pPr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O PLENÁRIO DO CONSELHO DE ARQUITETURA E URBANISMO DO RIO GRANDE DO SUL – CAU/RS no exercício das competências e prerrogativas de que trata o artigo 29, inciso XVIII do Regimento Interno do CAU/RS reunido ordinariamente através de sistema de deliberação remota, conforme determina a Deliberação Plenária DPO/RS Nº 1155/2020, no dia 30 de julho de 2021, após análise do assunto em epígrafe, e</w:t>
      </w:r>
    </w:p>
    <w:p w:rsidR="001B10AD" w:rsidRPr="00431139" w:rsidRDefault="001B10AD" w:rsidP="001B10AD">
      <w:pPr>
        <w:jc w:val="both"/>
        <w:rPr>
          <w:rFonts w:asciiTheme="minorHAnsi" w:hAnsiTheme="minorHAnsi" w:cstheme="minorHAnsi"/>
        </w:rPr>
      </w:pPr>
    </w:p>
    <w:p w:rsidR="006D49A1" w:rsidRPr="00431139" w:rsidRDefault="0001204B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Considerando </w:t>
      </w:r>
      <w:r w:rsidR="001B10AD" w:rsidRPr="00431139">
        <w:rPr>
          <w:rFonts w:asciiTheme="minorHAnsi" w:hAnsiTheme="minorHAnsi" w:cstheme="minorHAnsi"/>
        </w:rPr>
        <w:t>o inteiro teor do processo administrativo nº 619/2018</w:t>
      </w:r>
      <w:r w:rsidR="00D25BD3" w:rsidRPr="00431139">
        <w:rPr>
          <w:rFonts w:asciiTheme="minorHAnsi" w:hAnsiTheme="minorHAnsi" w:cstheme="minorHAnsi"/>
        </w:rPr>
        <w:t xml:space="preserve">, </w:t>
      </w:r>
      <w:r w:rsidR="006D49A1" w:rsidRPr="00431139">
        <w:rPr>
          <w:rFonts w:asciiTheme="minorHAnsi" w:hAnsiTheme="minorHAnsi" w:cstheme="minorHAnsi"/>
        </w:rPr>
        <w:t>em especial,</w:t>
      </w:r>
      <w:r w:rsidR="00D25BD3" w:rsidRPr="00431139">
        <w:rPr>
          <w:rFonts w:asciiTheme="minorHAnsi" w:hAnsiTheme="minorHAnsi" w:cstheme="minorHAnsi"/>
        </w:rPr>
        <w:t xml:space="preserve"> </w:t>
      </w:r>
      <w:r w:rsidR="006D49A1" w:rsidRPr="00431139">
        <w:rPr>
          <w:rFonts w:asciiTheme="minorHAnsi" w:hAnsiTheme="minorHAnsi" w:cstheme="minorHAnsi"/>
        </w:rPr>
        <w:t>o parecer elaborado pelos fiscais e gestor do Contrato CAU/RS nº 003/2020 – execução da obra do Espaço do Arquiteto, o qual aponta problemas de planejamento e organização por parte da Pessoa Jurídica OBRAS &amp; OBRAS CONSTRUTORA LTDA, acarretando reiterados descumprimentos do prazo de execução do objeto;</w:t>
      </w: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que a empresa incidiu em: a) não cumprimento regular de cláusulas contratuais e prazos estabelecidos em cronograma físico-financeiro, situação registrada já no primeiro relatório de medição; b) lentidão na execução da obra levando a Administração a comprovar a impossibilidade da conclusão do serviço nos prazos estipulados; c) paralisação da obra de forma unilateral, contrariando a solicitação de gestor e fiscais, ainda que houvesse serviços que poderiam estar sendo executados e independiam da análise do pedido de reequilíbrio econômico-financeiro; d) desatendi</w:t>
      </w:r>
      <w:r w:rsidRPr="00431139">
        <w:rPr>
          <w:rFonts w:asciiTheme="minorHAnsi" w:hAnsiTheme="minorHAnsi" w:cstheme="minorHAnsi"/>
        </w:rPr>
        <w:lastRenderedPageBreak/>
        <w:t>mento das determinações regulares da autoridade designada para acompanhar e fiscalizar a sua execução, assim como as de seus superiores, para a retomada dos serviços;</w:t>
      </w: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D49A1" w:rsidRPr="00431139" w:rsidRDefault="006D49A1" w:rsidP="006A322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a anotação, por parte da fiscalização contratual, dos problemas identificados na prestação dos serviços, na fo</w:t>
      </w:r>
      <w:r w:rsidR="0059285F" w:rsidRPr="00431139">
        <w:rPr>
          <w:rFonts w:asciiTheme="minorHAnsi" w:hAnsiTheme="minorHAnsi" w:cstheme="minorHAnsi"/>
        </w:rPr>
        <w:t xml:space="preserve">rma do § 1º </w:t>
      </w:r>
      <w:r w:rsidRPr="00431139">
        <w:rPr>
          <w:rFonts w:asciiTheme="minorHAnsi" w:hAnsiTheme="minorHAnsi" w:cstheme="minorHAnsi"/>
        </w:rPr>
        <w:t>do art. 67º da Lei 8.666/93</w:t>
      </w:r>
      <w:r w:rsidR="006A322D" w:rsidRPr="00431139">
        <w:rPr>
          <w:rFonts w:asciiTheme="minorHAnsi" w:hAnsiTheme="minorHAnsi" w:cstheme="minorHAnsi"/>
        </w:rPr>
        <w:t xml:space="preserve"> o qual estabelece que a</w:t>
      </w:r>
      <w:r w:rsidR="006A322D" w:rsidRPr="00431139">
        <w:rPr>
          <w:rFonts w:asciiTheme="minorHAnsi" w:hAnsiTheme="minorHAnsi" w:cstheme="minorHAnsi"/>
        </w:rPr>
        <w:t xml:space="preserve"> execução do contrato deverá ser acompanhada e fiscalizada por um representante da Administração especialmente designado, permitida a contratação de terceiros para assisti-lo e subsidiá-lo de informações pertinentes a essa atribuição</w:t>
      </w:r>
      <w:r w:rsidR="006A322D" w:rsidRPr="00431139">
        <w:rPr>
          <w:rFonts w:asciiTheme="minorHAnsi" w:hAnsiTheme="minorHAnsi" w:cstheme="minorHAnsi"/>
        </w:rPr>
        <w:t xml:space="preserve"> e que o </w:t>
      </w:r>
      <w:r w:rsidR="006A322D" w:rsidRPr="00431139">
        <w:rPr>
          <w:rFonts w:asciiTheme="minorHAnsi" w:hAnsiTheme="minorHAnsi" w:cstheme="minorHAnsi"/>
        </w:rPr>
        <w:t>representante da Administração anotará em registro próprio todas as ocorrências relacionadas com a execução do contrato, determinando o que for necessário à regularização da</w:t>
      </w:r>
      <w:r w:rsidR="006A322D" w:rsidRPr="00431139">
        <w:rPr>
          <w:rFonts w:asciiTheme="minorHAnsi" w:hAnsiTheme="minorHAnsi" w:cstheme="minorHAnsi"/>
        </w:rPr>
        <w:t>s faltas ou defeitos observados;</w:t>
      </w:r>
    </w:p>
    <w:p w:rsidR="005B1E9B" w:rsidRPr="00431139" w:rsidRDefault="005B1E9B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A322D" w:rsidRPr="00431139" w:rsidRDefault="005B1E9B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a disposiçã</w:t>
      </w:r>
      <w:r w:rsidR="006A322D" w:rsidRPr="00431139">
        <w:rPr>
          <w:rFonts w:asciiTheme="minorHAnsi" w:hAnsiTheme="minorHAnsi" w:cstheme="minorHAnsi"/>
        </w:rPr>
        <w:t>o do art. 77 da Lei nº 8.666/93, que determina que a inexecução total ou parcial do contrato enseja a sua rescisão, com as consequências contratuais e as previstas em lei ou regulamento;</w:t>
      </w:r>
    </w:p>
    <w:p w:rsidR="006D49A1" w:rsidRPr="00431139" w:rsidRDefault="006A322D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 </w:t>
      </w:r>
    </w:p>
    <w:p w:rsidR="00307A4D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a existência de violações contratuais, bem como a inci</w:t>
      </w:r>
      <w:r w:rsidR="00307A4D" w:rsidRPr="00431139">
        <w:rPr>
          <w:rFonts w:asciiTheme="minorHAnsi" w:hAnsiTheme="minorHAnsi" w:cstheme="minorHAnsi"/>
        </w:rPr>
        <w:t>dência no art.</w:t>
      </w:r>
      <w:r w:rsidR="005B1E9B" w:rsidRPr="00431139">
        <w:rPr>
          <w:rFonts w:asciiTheme="minorHAnsi" w:hAnsiTheme="minorHAnsi" w:cstheme="minorHAnsi"/>
        </w:rPr>
        <w:t xml:space="preserve"> 78, incisos</w:t>
      </w:r>
      <w:r w:rsidRPr="00431139">
        <w:rPr>
          <w:rFonts w:asciiTheme="minorHAnsi" w:hAnsiTheme="minorHAnsi" w:cstheme="minorHAnsi"/>
        </w:rPr>
        <w:t xml:space="preserve"> </w:t>
      </w:r>
      <w:r w:rsidR="005B1E9B" w:rsidRPr="00431139">
        <w:rPr>
          <w:rFonts w:asciiTheme="minorHAnsi" w:hAnsiTheme="minorHAnsi" w:cstheme="minorHAnsi"/>
        </w:rPr>
        <w:t>I, II, III, IV, VII e VIII</w:t>
      </w:r>
      <w:r w:rsidR="00307A4D" w:rsidRPr="00431139">
        <w:rPr>
          <w:rFonts w:asciiTheme="minorHAnsi" w:hAnsiTheme="minorHAnsi" w:cstheme="minorHAnsi"/>
        </w:rPr>
        <w:t>, da Lei nº 8.666/93</w:t>
      </w:r>
      <w:r w:rsidRPr="00431139">
        <w:rPr>
          <w:rFonts w:asciiTheme="minorHAnsi" w:hAnsiTheme="minorHAnsi" w:cstheme="minorHAnsi"/>
        </w:rPr>
        <w:t>, que justificam a rescisão contratual unilateral;</w:t>
      </w:r>
    </w:p>
    <w:p w:rsidR="006A322D" w:rsidRPr="00431139" w:rsidRDefault="00307A4D" w:rsidP="006D49A1">
      <w:pPr>
        <w:tabs>
          <w:tab w:val="left" w:pos="1418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431139">
        <w:rPr>
          <w:rFonts w:asciiTheme="minorHAnsi" w:hAnsiTheme="minorHAnsi" w:cstheme="minorHAnsi"/>
        </w:rPr>
        <w:t>Considerando as disposições previstas nos art</w:t>
      </w:r>
      <w:r w:rsidR="006A322D" w:rsidRPr="00431139">
        <w:rPr>
          <w:rFonts w:asciiTheme="minorHAnsi" w:hAnsiTheme="minorHAnsi" w:cstheme="minorHAnsi"/>
        </w:rPr>
        <w:t>igos 79 e 80 da Lei nº 8.666/93 quanto aos tipos de rescisão e suas consequências;</w:t>
      </w:r>
    </w:p>
    <w:p w:rsidR="008B16B2" w:rsidRPr="00431139" w:rsidRDefault="006A322D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 </w:t>
      </w:r>
    </w:p>
    <w:p w:rsidR="008B16B2" w:rsidRPr="00431139" w:rsidRDefault="008B16B2" w:rsidP="008B1403">
      <w:pPr>
        <w:tabs>
          <w:tab w:val="left" w:pos="1418"/>
        </w:tabs>
        <w:jc w:val="both"/>
        <w:rPr>
          <w:rFonts w:asciiTheme="minorHAnsi" w:hAnsiTheme="minorHAnsi" w:cstheme="minorHAnsi"/>
          <w:b/>
          <w:i/>
        </w:rPr>
      </w:pPr>
      <w:r w:rsidRPr="00431139">
        <w:rPr>
          <w:rFonts w:asciiTheme="minorHAnsi" w:hAnsiTheme="minorHAnsi" w:cstheme="minorHAnsi"/>
        </w:rPr>
        <w:t xml:space="preserve">Considerando o </w:t>
      </w:r>
      <w:r w:rsidRPr="00431139">
        <w:rPr>
          <w:rFonts w:asciiTheme="minorHAnsi" w:hAnsiTheme="minorHAnsi" w:cstheme="minorHAnsi"/>
          <w:b/>
        </w:rPr>
        <w:t>Relatório de Fiscalização e Gestão do Contrato nº 003/2020 (</w:t>
      </w:r>
      <w:r w:rsidR="006A322D" w:rsidRPr="00431139">
        <w:rPr>
          <w:rFonts w:asciiTheme="minorHAnsi" w:hAnsiTheme="minorHAnsi" w:cstheme="minorHAnsi"/>
          <w:b/>
        </w:rPr>
        <w:t>O</w:t>
      </w:r>
      <w:r w:rsidRPr="00431139">
        <w:rPr>
          <w:rFonts w:asciiTheme="minorHAnsi" w:hAnsiTheme="minorHAnsi" w:cstheme="minorHAnsi"/>
          <w:b/>
        </w:rPr>
        <w:t>bra Espaço do Arquiteto),</w:t>
      </w:r>
      <w:r w:rsidRPr="00431139">
        <w:rPr>
          <w:rFonts w:asciiTheme="minorHAnsi" w:hAnsiTheme="minorHAnsi" w:cstheme="minorHAnsi"/>
        </w:rPr>
        <w:t xml:space="preserve"> em que os fiscais e gestores do contrato arquiteto e urbanista fiscal do contrato Cássio Lorensini; arquiteta e urbanista fiscal do contrato Clarissa Wolff Pierry e arquiteto e urbanista gestor do contrato: Oritz Adriano Adams de Campos) evidenciaram uma série de infrações administrativas cometidas e obrigações descumpridas pela Pessoa Jurídica Obras &amp; Obras Construtora </w:t>
      </w:r>
      <w:proofErr w:type="spellStart"/>
      <w:r w:rsidRPr="00431139">
        <w:rPr>
          <w:rFonts w:asciiTheme="minorHAnsi" w:hAnsiTheme="minorHAnsi" w:cstheme="minorHAnsi"/>
        </w:rPr>
        <w:t>Ltda</w:t>
      </w:r>
      <w:proofErr w:type="spellEnd"/>
      <w:r w:rsidRPr="00431139">
        <w:rPr>
          <w:rFonts w:asciiTheme="minorHAnsi" w:hAnsiTheme="minorHAnsi" w:cstheme="minorHAnsi"/>
        </w:rPr>
        <w:t>, dentre as quais, especialmente:</w:t>
      </w:r>
      <w:r w:rsidR="008B1403" w:rsidRPr="00431139">
        <w:rPr>
          <w:rFonts w:asciiTheme="minorHAnsi" w:hAnsiTheme="minorHAnsi" w:cstheme="minorHAnsi"/>
        </w:rPr>
        <w:t xml:space="preserve"> </w:t>
      </w:r>
      <w:r w:rsidR="00C27572" w:rsidRPr="00431139">
        <w:rPr>
          <w:rFonts w:asciiTheme="minorHAnsi" w:hAnsiTheme="minorHAnsi" w:cstheme="minorHAnsi"/>
        </w:rPr>
        <w:t>“</w:t>
      </w:r>
      <w:r w:rsidR="008B1403" w:rsidRPr="00431139">
        <w:rPr>
          <w:rFonts w:asciiTheme="minorHAnsi" w:hAnsiTheme="minorHAnsi" w:cstheme="minorHAnsi"/>
          <w:b/>
          <w:i/>
        </w:rPr>
        <w:t xml:space="preserve">a) </w:t>
      </w:r>
      <w:r w:rsidRPr="00431139">
        <w:rPr>
          <w:rFonts w:asciiTheme="minorHAnsi" w:hAnsiTheme="minorHAnsi" w:cstheme="minorHAnsi"/>
          <w:b/>
          <w:i/>
        </w:rPr>
        <w:t xml:space="preserve">o não cumprimento do cronograma físico-financeiro;  b)  incompatibilidade na execução dos serviços e potencial atraso para a entrega final; c) infração prevista no item 19.1.2 do Projeto Básico; d) significativas divergências da contratada com o objeto do edital; e) </w:t>
      </w:r>
      <w:r w:rsidR="008B1403" w:rsidRPr="00431139">
        <w:rPr>
          <w:rFonts w:asciiTheme="minorHAnsi" w:hAnsiTheme="minorHAnsi" w:cstheme="minorHAnsi"/>
          <w:b/>
          <w:i/>
        </w:rPr>
        <w:t xml:space="preserve">repetidas exigências e descumprimento no que tange ao cumprimento do contrato; f) : a subcontratação de empresa para execução do sistema de climatização do Espaço do Arquiteto sem prévia comunicação à Contratante, configurando o descumprimento do item 11.6 do Projeto Básico; g) a fiscalização do contrato registrou em relatório de medição que era “claro o </w:t>
      </w:r>
      <w:r w:rsidR="008B1403" w:rsidRPr="00431139">
        <w:rPr>
          <w:rFonts w:asciiTheme="minorHAnsi" w:hAnsiTheme="minorHAnsi" w:cstheme="minorHAnsi"/>
          <w:b/>
          <w:i/>
        </w:rPr>
        <w:lastRenderedPageBreak/>
        <w:t xml:space="preserve">grande descompasso entre o cronograma físico-financeiro original e a execução dos trabalhos para a materialização do Espaço do Arquiteto”. Reiterada, portanto, a infração prevista no item 19.1.2 do Projeto Básico. ; h) alterações e solicitações intermináveis de prorrogação contratual e abandono da obra; i) a fiscalização registrou em diversos relatórios de medição o flagrante atraso na execução dos serviços; j) infração administrativa prevista no item 19.1.2 do Projeto Básico, bem como a infração disposta no item 19.1.1, qual seja, a inexecução das obrigações assumidas; l) evidentes incompatibilidades entre execução e cronograma; m) diversos e-mails e notificações encaminhadas à Pessoa Jurídica, sem que esta resolve os problemas; n) a empresa, indevidamente, vinculou a entrega de diversos itens à aceitação do CAU/RS do pedido de reequilíbrio econômico financeiro, não cumprindo com  notificações enviadas, descumprindo a obrigação prevista no item 10.24 do Projeto Básico; o) sucessivos atrasos e não seguimento dos cronogramas, </w:t>
      </w:r>
      <w:r w:rsidR="00803F55" w:rsidRPr="00431139">
        <w:rPr>
          <w:rFonts w:asciiTheme="minorHAnsi" w:hAnsiTheme="minorHAnsi" w:cstheme="minorHAnsi"/>
          <w:b/>
          <w:i/>
        </w:rPr>
        <w:t>inviabilizando</w:t>
      </w:r>
      <w:r w:rsidR="008B1403" w:rsidRPr="00431139">
        <w:rPr>
          <w:rFonts w:asciiTheme="minorHAnsi" w:hAnsiTheme="minorHAnsi" w:cstheme="minorHAnsi"/>
          <w:b/>
          <w:i/>
        </w:rPr>
        <w:t xml:space="preserve"> completamente a finalização dos serviços;</w:t>
      </w:r>
      <w:r w:rsidR="00803F55" w:rsidRPr="00431139">
        <w:rPr>
          <w:rFonts w:asciiTheme="minorHAnsi" w:hAnsiTheme="minorHAnsi" w:cstheme="minorHAnsi"/>
          <w:b/>
          <w:i/>
        </w:rPr>
        <w:t xml:space="preserve"> p)  paralização unilateral da obra, sem autorização e aceite desta Autarquia, enquadrando-se na previsão contida no art. 78, V, da Lei nº 8.666/93; q) ausência de </w:t>
      </w:r>
      <w:proofErr w:type="spellStart"/>
      <w:r w:rsidR="00803F55" w:rsidRPr="00431139">
        <w:rPr>
          <w:rFonts w:asciiTheme="minorHAnsi" w:hAnsiTheme="minorHAnsi" w:cstheme="minorHAnsi"/>
          <w:b/>
          <w:i/>
        </w:rPr>
        <w:t>vantajosidade</w:t>
      </w:r>
      <w:proofErr w:type="spellEnd"/>
      <w:r w:rsidR="00803F55" w:rsidRPr="00431139">
        <w:rPr>
          <w:rFonts w:asciiTheme="minorHAnsi" w:hAnsiTheme="minorHAnsi" w:cstheme="minorHAnsi"/>
          <w:b/>
          <w:i/>
        </w:rPr>
        <w:t xml:space="preserve"> na manutenção do contrato para a Autarquia, mostrando-se a empresa  OBRAS &amp; OBRAS CONSTRUTORA LTDA, desde o começo, incapaz de absorver gastos imprescindíveis para a reforma de interiores; r) considerando-se as infrações administrativas cometidas e obrigações descumpridas e, com base nos apontamentos sobre carências de organização e planejamento de execução da obra, motivos básicos para o atraso observado, mesmo que seja possível justificar o acréscimo de valor ao contrato (cerca de 45%), não se considera vantajosa a manutenção do contrato OBRAS &amp; OBRAS CONSTRUTORA LTDA, pois, é improvável que a obra esteja concluída, pelas mãos da empresa, no final de mais quatros meses de trabalho.</w:t>
      </w:r>
      <w:r w:rsidR="00C27572" w:rsidRPr="00431139">
        <w:rPr>
          <w:rFonts w:asciiTheme="minorHAnsi" w:hAnsiTheme="minorHAnsi" w:cstheme="minorHAnsi"/>
          <w:b/>
          <w:i/>
        </w:rPr>
        <w:t>”</w:t>
      </w:r>
    </w:p>
    <w:p w:rsidR="008B16B2" w:rsidRPr="00431139" w:rsidRDefault="008B16B2" w:rsidP="008B16B2">
      <w:pPr>
        <w:tabs>
          <w:tab w:val="left" w:pos="1418"/>
        </w:tabs>
        <w:jc w:val="both"/>
        <w:rPr>
          <w:rFonts w:asciiTheme="minorHAnsi" w:hAnsiTheme="minorHAnsi" w:cstheme="minorHAnsi"/>
          <w:b/>
          <w:i/>
        </w:rPr>
      </w:pPr>
    </w:p>
    <w:p w:rsidR="00307A4D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o direito protestativo da Administração em</w:t>
      </w:r>
      <w:r w:rsidR="00803F55" w:rsidRPr="00431139">
        <w:rPr>
          <w:rFonts w:asciiTheme="minorHAnsi" w:hAnsiTheme="minorHAnsi" w:cstheme="minorHAnsi"/>
        </w:rPr>
        <w:t xml:space="preserve"> rescindir a relação contratual, fundamentado nas premissas fáticas e legais. </w:t>
      </w:r>
    </w:p>
    <w:p w:rsidR="00307A4D" w:rsidRPr="00431139" w:rsidRDefault="00307A4D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que a empresa OBRAS &amp; OBRAS CONSTRUTORA LTDA mostra-se, desde o início do período de execução da obra, incapaz d</w:t>
      </w:r>
      <w:r w:rsidR="0059285F" w:rsidRPr="00431139">
        <w:rPr>
          <w:rFonts w:asciiTheme="minorHAnsi" w:hAnsiTheme="minorHAnsi" w:cstheme="minorHAnsi"/>
        </w:rPr>
        <w:t>e absorver gastos</w:t>
      </w:r>
      <w:r w:rsidRPr="00431139">
        <w:rPr>
          <w:rFonts w:asciiTheme="minorHAnsi" w:hAnsiTheme="minorHAnsi" w:cstheme="minorHAnsi"/>
        </w:rPr>
        <w:t xml:space="preserve"> imprescindíveis para a prestação dos serviços, alegando carência e elevação do custo de insumos, decorrentes do cenário atual de pandemia; </w:t>
      </w: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o esforço dos fiscais do contrato, que agiram de forma célere, buscando reduzir os prazos de pagamento em relação aos limites previstos no Edital o que, ainda assim, não foi suficiente para que a contratada fizesse frente às despesas relacionadas às subcontratadas;</w:t>
      </w:r>
    </w:p>
    <w:p w:rsidR="005B1E9B" w:rsidRPr="00431139" w:rsidRDefault="005B1E9B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07A4D" w:rsidRPr="00431139" w:rsidRDefault="005B1E9B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o descumprimento de obrigações previstas no Projeto Básico, tal qual a prevista no item 10.24</w:t>
      </w:r>
      <w:r w:rsidR="00307A4D" w:rsidRPr="00431139">
        <w:rPr>
          <w:rFonts w:asciiTheme="minorHAnsi" w:hAnsiTheme="minorHAnsi" w:cstheme="minorHAnsi"/>
        </w:rPr>
        <w:t>;</w:t>
      </w:r>
    </w:p>
    <w:p w:rsidR="00307A4D" w:rsidRPr="00431139" w:rsidRDefault="00307A4D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B1E9B" w:rsidRPr="00431139" w:rsidRDefault="00307A4D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Considerando </w:t>
      </w:r>
      <w:r w:rsidR="005B1E9B" w:rsidRPr="00431139">
        <w:rPr>
          <w:rFonts w:asciiTheme="minorHAnsi" w:hAnsiTheme="minorHAnsi" w:cstheme="minorHAnsi"/>
        </w:rPr>
        <w:t>o cometimento de infrações administrativas previstas no Projeto Básico, estabelecidas nos itens 19.1.1 e 19.1.2;</w:t>
      </w: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que a empresa não firmou contrato, oportunamente, com potenciais subcontratadas, o que ocasionou a perda de validade das propostas inicialmente obtidas e um consequente aumento significativo dos custos de serviços; e</w:t>
      </w:r>
    </w:p>
    <w:p w:rsidR="006D49A1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1204B" w:rsidRPr="00431139" w:rsidRDefault="006D49A1" w:rsidP="006D49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Considerando que o próprio pedido de reequilíbrio econômico-financeiro, encaminhado pela empresa inicialmente em 22/02/2021, precisou ser ajustado e revisado diversas vezes por solicitação da fiscalização do contrato, sendo concluído apenas em 01/07/2021;</w:t>
      </w:r>
    </w:p>
    <w:p w:rsidR="001C51BE" w:rsidRPr="00431139" w:rsidRDefault="001C51BE" w:rsidP="001C51BE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</w:rPr>
      </w:pPr>
    </w:p>
    <w:p w:rsidR="00124A49" w:rsidRPr="00431139" w:rsidRDefault="00124A49" w:rsidP="00124A49">
      <w:pPr>
        <w:jc w:val="both"/>
        <w:rPr>
          <w:rFonts w:asciiTheme="minorHAnsi" w:hAnsiTheme="minorHAnsi" w:cstheme="minorHAnsi"/>
          <w:b/>
          <w:lang w:eastAsia="pt-BR"/>
        </w:rPr>
      </w:pPr>
      <w:r w:rsidRPr="00431139">
        <w:rPr>
          <w:rFonts w:asciiTheme="minorHAnsi" w:hAnsiTheme="minorHAnsi" w:cstheme="minorHAnsi"/>
          <w:b/>
          <w:lang w:eastAsia="pt-BR"/>
        </w:rPr>
        <w:t>DELIBEROU:</w:t>
      </w:r>
    </w:p>
    <w:p w:rsidR="00124A49" w:rsidRPr="00431139" w:rsidRDefault="00F46AB6" w:rsidP="00F46AB6">
      <w:pPr>
        <w:tabs>
          <w:tab w:val="left" w:pos="1402"/>
        </w:tabs>
        <w:jc w:val="both"/>
        <w:rPr>
          <w:rFonts w:asciiTheme="minorHAnsi" w:hAnsiTheme="minorHAnsi" w:cstheme="minorHAnsi"/>
          <w:lang w:eastAsia="pt-BR"/>
        </w:rPr>
      </w:pPr>
      <w:r w:rsidRPr="00431139">
        <w:rPr>
          <w:rFonts w:asciiTheme="minorHAnsi" w:hAnsiTheme="minorHAnsi" w:cstheme="minorHAnsi"/>
          <w:lang w:eastAsia="pt-BR"/>
        </w:rPr>
        <w:tab/>
      </w:r>
    </w:p>
    <w:p w:rsidR="006D49A1" w:rsidRPr="00431139" w:rsidRDefault="006D49A1" w:rsidP="00233DF1">
      <w:pPr>
        <w:pStyle w:val="PargrafodaLista"/>
        <w:numPr>
          <w:ilvl w:val="0"/>
          <w:numId w:val="69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Com base nas </w:t>
      </w:r>
      <w:r w:rsidR="00470589" w:rsidRPr="00431139">
        <w:rPr>
          <w:rFonts w:asciiTheme="minorHAnsi" w:hAnsiTheme="minorHAnsi" w:cstheme="minorHAnsi"/>
        </w:rPr>
        <w:t xml:space="preserve">substanciais e sérias </w:t>
      </w:r>
      <w:r w:rsidRPr="00431139">
        <w:rPr>
          <w:rFonts w:asciiTheme="minorHAnsi" w:hAnsiTheme="minorHAnsi" w:cstheme="minorHAnsi"/>
        </w:rPr>
        <w:t xml:space="preserve">irregularidades supracitadas, </w:t>
      </w:r>
      <w:r w:rsidR="00470589" w:rsidRPr="00431139">
        <w:rPr>
          <w:rFonts w:asciiTheme="minorHAnsi" w:hAnsiTheme="minorHAnsi" w:cstheme="minorHAnsi"/>
        </w:rPr>
        <w:t xml:space="preserve">as quais </w:t>
      </w:r>
      <w:r w:rsidRPr="00431139">
        <w:rPr>
          <w:rFonts w:asciiTheme="minorHAnsi" w:hAnsiTheme="minorHAnsi" w:cstheme="minorHAnsi"/>
        </w:rPr>
        <w:t xml:space="preserve">demonstram </w:t>
      </w:r>
      <w:r w:rsidR="00470589" w:rsidRPr="00431139">
        <w:rPr>
          <w:rFonts w:asciiTheme="minorHAnsi" w:hAnsiTheme="minorHAnsi" w:cstheme="minorHAnsi"/>
        </w:rPr>
        <w:t xml:space="preserve">diversas irregularidades e descumprimentos </w:t>
      </w:r>
      <w:r w:rsidR="00470589" w:rsidRPr="00431139">
        <w:rPr>
          <w:rFonts w:asciiTheme="minorHAnsi" w:hAnsiTheme="minorHAnsi" w:cstheme="minorHAnsi"/>
        </w:rPr>
        <w:lastRenderedPageBreak/>
        <w:t xml:space="preserve">reiterados das normas licitatórias, </w:t>
      </w:r>
      <w:proofErr w:type="spellStart"/>
      <w:r w:rsidR="00470589" w:rsidRPr="00431139">
        <w:rPr>
          <w:rFonts w:asciiTheme="minorHAnsi" w:hAnsiTheme="minorHAnsi" w:cstheme="minorHAnsi"/>
        </w:rPr>
        <w:t>editalícias</w:t>
      </w:r>
      <w:proofErr w:type="spellEnd"/>
      <w:r w:rsidR="00470589" w:rsidRPr="00431139">
        <w:rPr>
          <w:rFonts w:asciiTheme="minorHAnsi" w:hAnsiTheme="minorHAnsi" w:cstheme="minorHAnsi"/>
        </w:rPr>
        <w:t xml:space="preserve"> e contratuais</w:t>
      </w:r>
      <w:r w:rsidRPr="00431139">
        <w:rPr>
          <w:rFonts w:asciiTheme="minorHAnsi" w:hAnsiTheme="minorHAnsi" w:cstheme="minorHAnsi"/>
        </w:rPr>
        <w:t xml:space="preserve"> </w:t>
      </w:r>
      <w:r w:rsidR="00470589" w:rsidRPr="00431139">
        <w:rPr>
          <w:rFonts w:asciiTheme="minorHAnsi" w:hAnsiTheme="minorHAnsi" w:cstheme="minorHAnsi"/>
        </w:rPr>
        <w:t>pela</w:t>
      </w:r>
      <w:r w:rsidRPr="00431139">
        <w:rPr>
          <w:rFonts w:asciiTheme="minorHAnsi" w:hAnsiTheme="minorHAnsi" w:cstheme="minorHAnsi"/>
        </w:rPr>
        <w:t xml:space="preserve"> Pessoa Jurídica OBRAS &amp; OBRAS CONSTRUTORA LTDA</w:t>
      </w:r>
      <w:r w:rsidR="00470589" w:rsidRPr="00431139">
        <w:rPr>
          <w:rFonts w:asciiTheme="minorHAnsi" w:hAnsiTheme="minorHAnsi" w:cstheme="minorHAnsi"/>
        </w:rPr>
        <w:t xml:space="preserve">, em afronta direta aos preceitos normativos, </w:t>
      </w:r>
      <w:r w:rsidR="00470589" w:rsidRPr="00431139">
        <w:rPr>
          <w:rFonts w:asciiTheme="minorHAnsi" w:hAnsiTheme="minorHAnsi" w:cstheme="minorHAnsi"/>
          <w:b/>
        </w:rPr>
        <w:t>delibera-se pela rescisão unilateral do contrato com a empresa OBRAS &amp; OBRAS CONSTRUTORA LTDA</w:t>
      </w:r>
      <w:r w:rsidR="00470589" w:rsidRPr="00431139">
        <w:rPr>
          <w:rFonts w:asciiTheme="minorHAnsi" w:hAnsiTheme="minorHAnsi" w:cstheme="minorHAnsi"/>
        </w:rPr>
        <w:t xml:space="preserve">, com base nas premissas fáticas e jurídicas apresentadas nesta Deliberação Plenária, especialmente as dispostas </w:t>
      </w:r>
      <w:r w:rsidRPr="00431139">
        <w:rPr>
          <w:rFonts w:asciiTheme="minorHAnsi" w:hAnsiTheme="minorHAnsi" w:cstheme="minorHAnsi"/>
        </w:rPr>
        <w:t>no artigo 78º, parágrafos I, II, III, IV e VII, da Lei 8.666/93</w:t>
      </w:r>
      <w:r w:rsidR="00470589" w:rsidRPr="00431139">
        <w:rPr>
          <w:rFonts w:asciiTheme="minorHAnsi" w:hAnsiTheme="minorHAnsi" w:cstheme="minorHAnsi"/>
        </w:rPr>
        <w:t>.</w:t>
      </w:r>
    </w:p>
    <w:p w:rsidR="007C5595" w:rsidRPr="00431139" w:rsidRDefault="007C5595" w:rsidP="007C559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056BB" w:rsidRPr="00431139" w:rsidRDefault="006D49A1" w:rsidP="000D7B47">
      <w:pPr>
        <w:pStyle w:val="PargrafodaLista"/>
        <w:numPr>
          <w:ilvl w:val="0"/>
          <w:numId w:val="69"/>
        </w:numPr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Determinar aos órgãos competentes do CAU/RS</w:t>
      </w:r>
      <w:r w:rsidR="00302B65" w:rsidRPr="00431139">
        <w:rPr>
          <w:rFonts w:asciiTheme="minorHAnsi" w:hAnsiTheme="minorHAnsi" w:cstheme="minorHAnsi"/>
        </w:rPr>
        <w:t xml:space="preserve">, em virtude da culpa exclusiva da Pessoa Jurídica OBRAS &amp; OBRAS CONSTRUTORA LTDA que gerou a rescisão contratual, para que procedam aos trâmites, </w:t>
      </w:r>
      <w:r w:rsidR="007056BB" w:rsidRPr="00431139">
        <w:rPr>
          <w:rFonts w:asciiTheme="minorHAnsi" w:hAnsiTheme="minorHAnsi" w:cstheme="minorHAnsi"/>
        </w:rPr>
        <w:t xml:space="preserve">observando o </w:t>
      </w:r>
      <w:r w:rsidR="00302B65" w:rsidRPr="00431139">
        <w:rPr>
          <w:rFonts w:asciiTheme="minorHAnsi" w:hAnsiTheme="minorHAnsi" w:cstheme="minorHAnsi"/>
        </w:rPr>
        <w:t>devido processo legal</w:t>
      </w:r>
      <w:r w:rsidR="007056BB" w:rsidRPr="00431139">
        <w:rPr>
          <w:rFonts w:asciiTheme="minorHAnsi" w:hAnsiTheme="minorHAnsi" w:cstheme="minorHAnsi"/>
        </w:rPr>
        <w:t xml:space="preserve"> e administrativo</w:t>
      </w:r>
      <w:r w:rsidR="00302B65" w:rsidRPr="00431139">
        <w:rPr>
          <w:rFonts w:asciiTheme="minorHAnsi" w:hAnsiTheme="minorHAnsi" w:cstheme="minorHAnsi"/>
        </w:rPr>
        <w:t xml:space="preserve">, </w:t>
      </w:r>
      <w:r w:rsidR="007C5595" w:rsidRPr="00431139">
        <w:rPr>
          <w:rFonts w:asciiTheme="minorHAnsi" w:hAnsiTheme="minorHAnsi" w:cstheme="minorHAnsi"/>
        </w:rPr>
        <w:t>para</w:t>
      </w:r>
      <w:r w:rsidR="00302B65" w:rsidRPr="00431139">
        <w:rPr>
          <w:rFonts w:asciiTheme="minorHAnsi" w:hAnsiTheme="minorHAnsi" w:cstheme="minorHAnsi"/>
        </w:rPr>
        <w:t xml:space="preserve"> aplicaç</w:t>
      </w:r>
      <w:r w:rsidR="007056BB" w:rsidRPr="00431139">
        <w:rPr>
          <w:rFonts w:asciiTheme="minorHAnsi" w:hAnsiTheme="minorHAnsi" w:cstheme="minorHAnsi"/>
        </w:rPr>
        <w:t xml:space="preserve">ão das </w:t>
      </w:r>
      <w:r w:rsidR="00302B65" w:rsidRPr="00431139">
        <w:rPr>
          <w:rFonts w:asciiTheme="minorHAnsi" w:hAnsiTheme="minorHAnsi" w:cstheme="minorHAnsi"/>
        </w:rPr>
        <w:t>penalidades previstas nas normas regentes, tais como</w:t>
      </w:r>
      <w:r w:rsidR="007056BB" w:rsidRPr="00431139">
        <w:rPr>
          <w:rFonts w:asciiTheme="minorHAnsi" w:hAnsiTheme="minorHAnsi" w:cstheme="minorHAnsi"/>
        </w:rPr>
        <w:t>, por exemplo: a) advertência, multa, suspensão temporária, declaração de inidoneidade, impedimento de licitar e contratar com a União, Estados, Distrito Federal ou Municípios</w:t>
      </w:r>
      <w:r w:rsidR="007C5595" w:rsidRPr="00431139">
        <w:rPr>
          <w:rFonts w:asciiTheme="minorHAnsi" w:hAnsiTheme="minorHAnsi" w:cstheme="minorHAnsi"/>
        </w:rPr>
        <w:t>;</w:t>
      </w:r>
      <w:r w:rsidR="007056BB" w:rsidRPr="00431139">
        <w:rPr>
          <w:rFonts w:asciiTheme="minorHAnsi" w:hAnsiTheme="minorHAnsi" w:cstheme="minorHAnsi"/>
        </w:rPr>
        <w:t xml:space="preserve"> b) indenização dos prejuízos que o CAU/RS veio a sofrer; </w:t>
      </w:r>
      <w:r w:rsidR="007C5595" w:rsidRPr="00431139">
        <w:rPr>
          <w:rFonts w:asciiTheme="minorHAnsi" w:hAnsiTheme="minorHAnsi" w:cstheme="minorHAnsi"/>
        </w:rPr>
        <w:t>c) outras multas e penalidades administrativas previstas em lei.</w:t>
      </w:r>
    </w:p>
    <w:p w:rsidR="007056BB" w:rsidRPr="00431139" w:rsidRDefault="007056BB" w:rsidP="007056BB">
      <w:pPr>
        <w:pStyle w:val="PargrafodaLista"/>
        <w:rPr>
          <w:rFonts w:asciiTheme="minorHAnsi" w:hAnsiTheme="minorHAnsi" w:cstheme="minorHAnsi"/>
        </w:rPr>
      </w:pPr>
    </w:p>
    <w:p w:rsidR="00302B65" w:rsidRPr="00431139" w:rsidRDefault="00302B65" w:rsidP="006D49A1">
      <w:pPr>
        <w:pStyle w:val="PargrafodaLista"/>
        <w:numPr>
          <w:ilvl w:val="0"/>
          <w:numId w:val="69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 xml:space="preserve">Determinar que, caso a inexecução resulte em crime contra a administração pública, também deverá ser encaminhado a decisão ao Ministério Público para as providências cabíveis. </w:t>
      </w:r>
    </w:p>
    <w:p w:rsidR="007C5595" w:rsidRPr="00431139" w:rsidRDefault="007C5595" w:rsidP="006D49A1">
      <w:pPr>
        <w:pStyle w:val="PargrafodaLista"/>
        <w:rPr>
          <w:rFonts w:asciiTheme="minorHAnsi" w:hAnsiTheme="minorHAnsi" w:cstheme="minorHAnsi"/>
        </w:rPr>
      </w:pPr>
    </w:p>
    <w:p w:rsidR="00124A49" w:rsidRPr="00431139" w:rsidRDefault="00124A49" w:rsidP="00D757EC">
      <w:pPr>
        <w:tabs>
          <w:tab w:val="left" w:pos="1418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431139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:rsidR="00124A49" w:rsidRPr="00431139" w:rsidRDefault="00124A49" w:rsidP="00124A49">
      <w:pPr>
        <w:jc w:val="both"/>
        <w:rPr>
          <w:rFonts w:asciiTheme="minorHAnsi" w:hAnsiTheme="minorHAnsi" w:cstheme="minorHAnsi"/>
          <w:lang w:eastAsia="pt-BR"/>
        </w:rPr>
      </w:pPr>
    </w:p>
    <w:p w:rsidR="006D49A1" w:rsidRPr="00431139" w:rsidRDefault="006D49A1" w:rsidP="006D49A1">
      <w:pPr>
        <w:jc w:val="both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  <w:lang w:eastAsia="pt-BR"/>
        </w:rPr>
        <w:t xml:space="preserve">Com 20 (vinte) votos favoráveis, das conselheiras Ana Paula Schirmer dos Santos Cristina Gioconda Bastos Langer, Deise Flores Santos, Evelise Jaime </w:t>
      </w:r>
      <w:r w:rsidRPr="00431139">
        <w:rPr>
          <w:rFonts w:asciiTheme="minorHAnsi" w:hAnsiTheme="minorHAnsi" w:cstheme="minorHAnsi"/>
          <w:lang w:eastAsia="pt-BR"/>
        </w:rPr>
        <w:lastRenderedPageBreak/>
        <w:t xml:space="preserve">de Menezes, Gislaine Vargas Saibro, Ingrid Louise de Souza Dahm, Lidia Glacir Gomes Rodrigues, Marcia Elizabeth Martins, Marilia Pereira de Ardovino Barbosa, Nubia Margot Menezes Jardim e Orildes Tres e dos conselheiros Carlos Eduardo Mesquita Pedone, Emilio Merino Dominguez, Fabio Muller, Fausto Henrique Steffen, Pedro Xavier De Araujo, Rafael Ártico, Rinaldo Ferreira Barbosa, Rodrigo Rintzel e Rodrigo Spinelli </w:t>
      </w:r>
      <w:r w:rsidRPr="00431139">
        <w:rPr>
          <w:rFonts w:asciiTheme="minorHAnsi" w:hAnsiTheme="minorHAnsi" w:cstheme="minorHAnsi"/>
        </w:rPr>
        <w:t xml:space="preserve">e 01 (uma) ausência, </w:t>
      </w:r>
      <w:r w:rsidRPr="00431139">
        <w:rPr>
          <w:rFonts w:asciiTheme="minorHAnsi" w:hAnsiTheme="minorHAnsi" w:cstheme="minorHAnsi"/>
          <w:lang w:eastAsia="pt-BR"/>
        </w:rPr>
        <w:t>do conselheiro Carlos Eduardo Iponema Costa</w:t>
      </w:r>
      <w:r w:rsidRPr="00431139">
        <w:rPr>
          <w:rFonts w:asciiTheme="minorHAnsi" w:hAnsiTheme="minorHAnsi" w:cstheme="minorHAnsi"/>
        </w:rPr>
        <w:t>.</w:t>
      </w:r>
    </w:p>
    <w:p w:rsidR="006D49A1" w:rsidRPr="00431139" w:rsidRDefault="006D49A1" w:rsidP="006D49A1">
      <w:pPr>
        <w:ind w:right="-8"/>
        <w:jc w:val="both"/>
        <w:rPr>
          <w:rFonts w:asciiTheme="minorHAnsi" w:hAnsiTheme="minorHAnsi" w:cstheme="minorHAnsi"/>
          <w:lang w:eastAsia="pt-BR"/>
        </w:rPr>
      </w:pPr>
      <w:r w:rsidRPr="00431139">
        <w:rPr>
          <w:rFonts w:asciiTheme="minorHAnsi" w:hAnsiTheme="minorHAnsi" w:cstheme="minorHAnsi"/>
          <w:lang w:eastAsia="pt-BR"/>
        </w:rPr>
        <w:tab/>
      </w:r>
    </w:p>
    <w:p w:rsidR="006D49A1" w:rsidRPr="00431139" w:rsidRDefault="006D49A1" w:rsidP="006D49A1">
      <w:pPr>
        <w:ind w:right="-8"/>
        <w:jc w:val="center"/>
        <w:rPr>
          <w:rFonts w:asciiTheme="minorHAnsi" w:hAnsiTheme="minorHAnsi" w:cstheme="minorHAnsi"/>
        </w:rPr>
      </w:pPr>
      <w:r w:rsidRPr="00431139">
        <w:rPr>
          <w:rFonts w:asciiTheme="minorHAnsi" w:hAnsiTheme="minorHAnsi" w:cstheme="minorHAnsi"/>
        </w:rPr>
        <w:t>Porto Alegre – RS, 30 de julho de 2021.</w:t>
      </w:r>
    </w:p>
    <w:p w:rsidR="006D49A1" w:rsidRPr="00431139" w:rsidRDefault="006D49A1" w:rsidP="006D49A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6D49A1" w:rsidRDefault="006D49A1" w:rsidP="005B1E9B">
      <w:pPr>
        <w:pStyle w:val="PargrafodaLista"/>
        <w:ind w:left="0" w:right="133"/>
        <w:rPr>
          <w:rFonts w:asciiTheme="minorHAnsi" w:hAnsiTheme="minorHAnsi" w:cstheme="minorHAnsi"/>
        </w:rPr>
      </w:pPr>
    </w:p>
    <w:p w:rsidR="00431139" w:rsidRDefault="00431139" w:rsidP="005B1E9B">
      <w:pPr>
        <w:pStyle w:val="PargrafodaLista"/>
        <w:ind w:left="0" w:right="133"/>
        <w:rPr>
          <w:rFonts w:asciiTheme="minorHAnsi" w:hAnsiTheme="minorHAnsi" w:cstheme="minorHAnsi"/>
        </w:rPr>
      </w:pPr>
    </w:p>
    <w:p w:rsidR="00431139" w:rsidRPr="00431139" w:rsidRDefault="00431139" w:rsidP="005B1E9B">
      <w:pPr>
        <w:pStyle w:val="PargrafodaLista"/>
        <w:ind w:left="0" w:right="133"/>
        <w:rPr>
          <w:rFonts w:asciiTheme="minorHAnsi" w:hAnsiTheme="minorHAnsi" w:cstheme="minorHAnsi"/>
        </w:rPr>
      </w:pPr>
      <w:bookmarkStart w:id="0" w:name="_GoBack"/>
      <w:bookmarkEnd w:id="0"/>
    </w:p>
    <w:p w:rsidR="006D49A1" w:rsidRPr="00431139" w:rsidRDefault="006D49A1" w:rsidP="006D49A1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6D49A1" w:rsidRPr="00431139" w:rsidRDefault="006D49A1" w:rsidP="006D49A1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431139">
        <w:rPr>
          <w:rFonts w:asciiTheme="minorHAnsi" w:hAnsiTheme="minorHAnsi" w:cstheme="minorHAnsi"/>
          <w:bCs/>
        </w:rPr>
        <w:t>TIAGO HOLZMANN DA SILVA</w:t>
      </w:r>
    </w:p>
    <w:p w:rsidR="006D49A1" w:rsidRPr="00431139" w:rsidRDefault="006D49A1" w:rsidP="006D49A1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/>
        </w:rPr>
      </w:pPr>
      <w:r w:rsidRPr="00431139">
        <w:rPr>
          <w:rFonts w:asciiTheme="minorHAnsi" w:hAnsiTheme="minorHAnsi" w:cstheme="minorHAnsi"/>
          <w:bCs/>
          <w:iCs/>
        </w:rPr>
        <w:t>Presidente do CAU/RS</w:t>
      </w:r>
    </w:p>
    <w:p w:rsidR="006D49A1" w:rsidRPr="007C5595" w:rsidRDefault="006D49A1" w:rsidP="006D49A1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6D49A1" w:rsidRPr="007C5595" w:rsidSect="005474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851" w:bottom="851" w:left="1701" w:header="1361" w:footer="57" w:gutter="0"/>
          <w:cols w:space="708"/>
          <w:titlePg/>
          <w:docGrid w:linePitch="326"/>
        </w:sectPr>
      </w:pPr>
    </w:p>
    <w:p w:rsidR="006D49A1" w:rsidRPr="007C5595" w:rsidRDefault="006D49A1" w:rsidP="006D49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7C5595">
        <w:rPr>
          <w:rFonts w:ascii="Calibri" w:hAnsi="Calibri" w:cs="Calibri"/>
          <w:b/>
          <w:bCs/>
          <w:sz w:val="22"/>
          <w:szCs w:val="22"/>
          <w:lang w:eastAsia="pt-BR"/>
        </w:rPr>
        <w:lastRenderedPageBreak/>
        <w:t>122ª REUNIÃO PLENÁRIA ORDINÁRIA DO CAU/RS</w:t>
      </w:r>
    </w:p>
    <w:p w:rsidR="006D49A1" w:rsidRPr="007C5595" w:rsidRDefault="006D49A1" w:rsidP="006D49A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7C5595">
        <w:rPr>
          <w:rFonts w:ascii="Calibri" w:hAnsi="Calibri" w:cs="Calibr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6D49A1" w:rsidRPr="007C5595" w:rsidTr="00DA4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D49A1" w:rsidRPr="007C5595" w:rsidRDefault="006D49A1" w:rsidP="006D49A1">
            <w:pPr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C5595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Votação da Deliberação Plenária DPO-RS nº 1331/2021 - Protocolo SICCAU nº 1186814 / 2020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6D49A1" w:rsidRPr="007C5595" w:rsidRDefault="006D49A1" w:rsidP="00DA45C3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C5595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6D49A1" w:rsidRPr="007C5595" w:rsidRDefault="006D49A1" w:rsidP="00DA45C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</w:pPr>
            <w:r w:rsidRPr="007C559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Ana Paula Schirmer dos Santos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Ausência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Cristina Gioconda Bastos Langer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Marilia Pereira de Ardovino Barbosa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Pedro Xavier De Araujo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D49A1" w:rsidRPr="00431139" w:rsidRDefault="006D49A1" w:rsidP="006D49A1">
            <w:pPr>
              <w:pStyle w:val="PargrafodaLista"/>
              <w:numPr>
                <w:ilvl w:val="0"/>
                <w:numId w:val="70"/>
              </w:numPr>
              <w:rPr>
                <w:rFonts w:asciiTheme="minorHAnsi" w:hAnsiTheme="minorHAnsi" w:cstheme="minorHAnsi"/>
                <w:b w:val="0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b w:val="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6D49A1" w:rsidRPr="00431139" w:rsidRDefault="006D49A1" w:rsidP="00DA4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139">
              <w:rPr>
                <w:rFonts w:asciiTheme="minorHAnsi" w:hAnsiTheme="minorHAnsi" w:cstheme="minorHAnsi"/>
                <w:sz w:val="20"/>
                <w:szCs w:val="22"/>
              </w:rPr>
              <w:t>Favorável</w:t>
            </w:r>
          </w:p>
        </w:tc>
      </w:tr>
      <w:tr w:rsidR="006D49A1" w:rsidRPr="007C5595" w:rsidTr="00DA4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6D49A1" w:rsidRPr="007C5595" w:rsidRDefault="006D49A1" w:rsidP="00DA45C3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D49A1" w:rsidRPr="007C5595" w:rsidTr="00DA45C3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49A1" w:rsidRPr="007C5595" w:rsidTr="00DA45C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 xml:space="preserve"> nº 122</w:t>
            </w:r>
          </w:p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49A1" w:rsidRPr="007C5595" w:rsidTr="00DA45C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Data: 30/07/2021 </w:t>
            </w:r>
          </w:p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D49A1" w:rsidRPr="00431139" w:rsidRDefault="006D49A1" w:rsidP="006D49A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 xml:space="preserve">Matéria em votação: DPO-RS 1331/2021 </w:t>
            </w:r>
            <w:r w:rsidRPr="00431139"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  <w:t>– Rescisão do contrato com a empresa Obras &amp; Obras Construtora Ltda.</w:t>
            </w:r>
          </w:p>
          <w:p w:rsidR="006D49A1" w:rsidRPr="00431139" w:rsidRDefault="006D49A1" w:rsidP="006D49A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49A1" w:rsidRPr="007C5595" w:rsidTr="00DA45C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431139"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  <w:t>Favoráveis (20) Ausências (01</w:t>
            </w:r>
            <w:proofErr w:type="gramStart"/>
            <w:r w:rsidRPr="00431139"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431139"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  <w:t> (21) </w:t>
            </w:r>
          </w:p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D49A1" w:rsidRPr="007C5595" w:rsidTr="00DA45C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431139">
              <w:rPr>
                <w:rFonts w:ascii="Calibri" w:eastAsia="Times New Roman" w:hAnsi="Calibri" w:cs="Calibr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D49A1" w:rsidRPr="00431139" w:rsidRDefault="006D49A1" w:rsidP="00DA45C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 </w:t>
            </w: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ab/>
            </w:r>
          </w:p>
          <w:p w:rsidR="006D49A1" w:rsidRPr="00431139" w:rsidRDefault="006D49A1" w:rsidP="00DA45C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D49A1" w:rsidRPr="007C5595" w:rsidTr="00DA45C3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lastRenderedPageBreak/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D49A1" w:rsidRPr="00431139" w:rsidRDefault="006D49A1" w:rsidP="00DA45C3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</w:pPr>
            <w:r w:rsidRPr="00431139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6D49A1" w:rsidRPr="007C5595" w:rsidRDefault="006D49A1" w:rsidP="006D49A1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8E69E6" w:rsidRPr="007C5595" w:rsidRDefault="008E69E6" w:rsidP="008E69E6">
      <w:pPr>
        <w:ind w:right="842"/>
        <w:jc w:val="both"/>
        <w:rPr>
          <w:rFonts w:asciiTheme="minorHAnsi" w:hAnsiTheme="minorHAnsi" w:cstheme="minorHAnsi"/>
          <w:sz w:val="22"/>
          <w:szCs w:val="22"/>
        </w:rPr>
      </w:pPr>
    </w:p>
    <w:p w:rsidR="0070723F" w:rsidRPr="007C5595" w:rsidRDefault="0070723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0723F" w:rsidRPr="007C5595" w:rsidSect="001B10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410" w:right="851" w:bottom="1135" w:left="1701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ED" w:rsidRDefault="00A023ED" w:rsidP="004C3048">
      <w:r>
        <w:separator/>
      </w:r>
    </w:p>
  </w:endnote>
  <w:endnote w:type="continuationSeparator" w:id="0">
    <w:p w:rsidR="00A023ED" w:rsidRDefault="00A023E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Pr="005950FA" w:rsidRDefault="006D49A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D49A1" w:rsidRPr="005F2A2D" w:rsidRDefault="006D49A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Pr="0093154B" w:rsidRDefault="006D49A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D49A1" w:rsidRDefault="006D49A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D49A1" w:rsidRPr="003F1946" w:rsidRDefault="006D49A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113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D49A1" w:rsidRPr="003F1946" w:rsidRDefault="006D49A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Pr="0093154B" w:rsidRDefault="006D49A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D49A1" w:rsidRDefault="006D49A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D49A1" w:rsidRPr="003F1946" w:rsidRDefault="006D49A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113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D49A1" w:rsidRPr="003F1946" w:rsidRDefault="006D49A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5950FA" w:rsidRDefault="00544E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44E3D" w:rsidRPr="005F2A2D" w:rsidRDefault="00544E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3154B" w:rsidRDefault="00544E3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44E3D" w:rsidRDefault="00544E3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44E3D" w:rsidRPr="003F1946" w:rsidRDefault="00544E3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113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44E3D" w:rsidRPr="003F1946" w:rsidRDefault="00544E3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3154B" w:rsidRDefault="00544E3D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44E3D" w:rsidRDefault="00544E3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44E3D" w:rsidRPr="003F1946" w:rsidRDefault="00544E3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113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44E3D" w:rsidRPr="003F1946" w:rsidRDefault="00544E3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ED" w:rsidRDefault="00A023ED" w:rsidP="004C3048">
      <w:r>
        <w:separator/>
      </w:r>
    </w:p>
  </w:footnote>
  <w:footnote w:type="continuationSeparator" w:id="0">
    <w:p w:rsidR="00A023ED" w:rsidRDefault="00A023E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Pr="009E4E5A" w:rsidRDefault="006D49A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62159998" wp14:editId="71B23E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5E186060" wp14:editId="6836392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Pr="009E4E5A" w:rsidRDefault="006D49A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3CB903" wp14:editId="4B926202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A1" w:rsidRDefault="006D49A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49C6D03A" wp14:editId="6B2F2852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E4E5A" w:rsidRDefault="00544E3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E4E5A" w:rsidRDefault="00544E3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-896704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Default="00544E3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E3E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13B6E"/>
    <w:multiLevelType w:val="hybridMultilevel"/>
    <w:tmpl w:val="50007732"/>
    <w:lvl w:ilvl="0" w:tplc="2C3421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6" w15:restartNumberingAfterBreak="0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27" w15:restartNumberingAfterBreak="0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41DD2"/>
    <w:multiLevelType w:val="hybridMultilevel"/>
    <w:tmpl w:val="65ACC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1305F"/>
    <w:multiLevelType w:val="hybridMultilevel"/>
    <w:tmpl w:val="B3E4A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1C5664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39566C"/>
    <w:multiLevelType w:val="hybridMultilevel"/>
    <w:tmpl w:val="D0945B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A4DD7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435772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25"/>
  </w:num>
  <w:num w:numId="4">
    <w:abstractNumId w:val="41"/>
  </w:num>
  <w:num w:numId="5">
    <w:abstractNumId w:val="34"/>
  </w:num>
  <w:num w:numId="6">
    <w:abstractNumId w:val="37"/>
  </w:num>
  <w:num w:numId="7">
    <w:abstractNumId w:val="28"/>
  </w:num>
  <w:num w:numId="8">
    <w:abstractNumId w:val="3"/>
  </w:num>
  <w:num w:numId="9">
    <w:abstractNumId w:val="17"/>
  </w:num>
  <w:num w:numId="10">
    <w:abstractNumId w:val="8"/>
  </w:num>
  <w:num w:numId="11">
    <w:abstractNumId w:val="39"/>
  </w:num>
  <w:num w:numId="12">
    <w:abstractNumId w:val="24"/>
  </w:num>
  <w:num w:numId="13">
    <w:abstractNumId w:val="59"/>
  </w:num>
  <w:num w:numId="14">
    <w:abstractNumId w:val="33"/>
  </w:num>
  <w:num w:numId="15">
    <w:abstractNumId w:val="5"/>
  </w:num>
  <w:num w:numId="16">
    <w:abstractNumId w:val="29"/>
  </w:num>
  <w:num w:numId="17">
    <w:abstractNumId w:val="14"/>
  </w:num>
  <w:num w:numId="18">
    <w:abstractNumId w:val="9"/>
  </w:num>
  <w:num w:numId="19">
    <w:abstractNumId w:val="58"/>
  </w:num>
  <w:num w:numId="20">
    <w:abstractNumId w:val="53"/>
  </w:num>
  <w:num w:numId="21">
    <w:abstractNumId w:val="47"/>
  </w:num>
  <w:num w:numId="22">
    <w:abstractNumId w:val="51"/>
  </w:num>
  <w:num w:numId="23">
    <w:abstractNumId w:val="20"/>
  </w:num>
  <w:num w:numId="24">
    <w:abstractNumId w:val="45"/>
  </w:num>
  <w:num w:numId="25">
    <w:abstractNumId w:val="19"/>
  </w:num>
  <w:num w:numId="26">
    <w:abstractNumId w:val="7"/>
  </w:num>
  <w:num w:numId="27">
    <w:abstractNumId w:val="43"/>
  </w:num>
  <w:num w:numId="28">
    <w:abstractNumId w:val="50"/>
  </w:num>
  <w:num w:numId="29">
    <w:abstractNumId w:val="21"/>
  </w:num>
  <w:num w:numId="30">
    <w:abstractNumId w:val="68"/>
  </w:num>
  <w:num w:numId="31">
    <w:abstractNumId w:val="36"/>
  </w:num>
  <w:num w:numId="32">
    <w:abstractNumId w:val="16"/>
  </w:num>
  <w:num w:numId="33">
    <w:abstractNumId w:val="31"/>
  </w:num>
  <w:num w:numId="34">
    <w:abstractNumId w:val="65"/>
  </w:num>
  <w:num w:numId="35">
    <w:abstractNumId w:val="61"/>
  </w:num>
  <w:num w:numId="36">
    <w:abstractNumId w:val="49"/>
  </w:num>
  <w:num w:numId="37">
    <w:abstractNumId w:val="63"/>
  </w:num>
  <w:num w:numId="38">
    <w:abstractNumId w:val="10"/>
  </w:num>
  <w:num w:numId="39">
    <w:abstractNumId w:val="69"/>
  </w:num>
  <w:num w:numId="40">
    <w:abstractNumId w:val="23"/>
  </w:num>
  <w:num w:numId="41">
    <w:abstractNumId w:val="70"/>
  </w:num>
  <w:num w:numId="42">
    <w:abstractNumId w:val="22"/>
  </w:num>
  <w:num w:numId="43">
    <w:abstractNumId w:val="13"/>
  </w:num>
  <w:num w:numId="44">
    <w:abstractNumId w:val="56"/>
  </w:num>
  <w:num w:numId="45">
    <w:abstractNumId w:val="2"/>
  </w:num>
  <w:num w:numId="46">
    <w:abstractNumId w:val="42"/>
  </w:num>
  <w:num w:numId="47">
    <w:abstractNumId w:val="57"/>
  </w:num>
  <w:num w:numId="48">
    <w:abstractNumId w:val="55"/>
  </w:num>
  <w:num w:numId="49">
    <w:abstractNumId w:val="15"/>
  </w:num>
  <w:num w:numId="50">
    <w:abstractNumId w:val="6"/>
  </w:num>
  <w:num w:numId="51">
    <w:abstractNumId w:val="1"/>
  </w:num>
  <w:num w:numId="52">
    <w:abstractNumId w:val="11"/>
  </w:num>
  <w:num w:numId="53">
    <w:abstractNumId w:val="62"/>
  </w:num>
  <w:num w:numId="54">
    <w:abstractNumId w:val="18"/>
  </w:num>
  <w:num w:numId="55">
    <w:abstractNumId w:val="67"/>
  </w:num>
  <w:num w:numId="56">
    <w:abstractNumId w:val="4"/>
  </w:num>
  <w:num w:numId="57">
    <w:abstractNumId w:val="35"/>
  </w:num>
  <w:num w:numId="58">
    <w:abstractNumId w:val="64"/>
  </w:num>
  <w:num w:numId="59">
    <w:abstractNumId w:val="66"/>
  </w:num>
  <w:num w:numId="60">
    <w:abstractNumId w:val="30"/>
  </w:num>
  <w:num w:numId="61">
    <w:abstractNumId w:val="27"/>
  </w:num>
  <w:num w:numId="62">
    <w:abstractNumId w:val="52"/>
  </w:num>
  <w:num w:numId="63">
    <w:abstractNumId w:val="44"/>
  </w:num>
  <w:num w:numId="64">
    <w:abstractNumId w:val="46"/>
  </w:num>
  <w:num w:numId="65">
    <w:abstractNumId w:val="54"/>
  </w:num>
  <w:num w:numId="66">
    <w:abstractNumId w:val="0"/>
  </w:num>
  <w:num w:numId="67">
    <w:abstractNumId w:val="60"/>
  </w:num>
  <w:num w:numId="68">
    <w:abstractNumId w:val="48"/>
  </w:num>
  <w:num w:numId="69">
    <w:abstractNumId w:val="12"/>
  </w:num>
  <w:num w:numId="70">
    <w:abstractNumId w:val="32"/>
  </w:num>
  <w:num w:numId="71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204B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1E0A"/>
    <w:rsid w:val="0010374D"/>
    <w:rsid w:val="00117EDD"/>
    <w:rsid w:val="00124A49"/>
    <w:rsid w:val="00133AD2"/>
    <w:rsid w:val="00135D65"/>
    <w:rsid w:val="00154FC2"/>
    <w:rsid w:val="00170CA0"/>
    <w:rsid w:val="00174A5A"/>
    <w:rsid w:val="001778C5"/>
    <w:rsid w:val="00180FB9"/>
    <w:rsid w:val="0019084D"/>
    <w:rsid w:val="001B10AD"/>
    <w:rsid w:val="001B5148"/>
    <w:rsid w:val="001B5F62"/>
    <w:rsid w:val="001C51BE"/>
    <w:rsid w:val="001D7A29"/>
    <w:rsid w:val="001E12FF"/>
    <w:rsid w:val="001E56D2"/>
    <w:rsid w:val="001F61E5"/>
    <w:rsid w:val="00216C06"/>
    <w:rsid w:val="00220A16"/>
    <w:rsid w:val="00237331"/>
    <w:rsid w:val="0025277E"/>
    <w:rsid w:val="0025716D"/>
    <w:rsid w:val="00280F33"/>
    <w:rsid w:val="00285A83"/>
    <w:rsid w:val="00295FD5"/>
    <w:rsid w:val="002974CF"/>
    <w:rsid w:val="002A3A72"/>
    <w:rsid w:val="002A7C5E"/>
    <w:rsid w:val="002B456E"/>
    <w:rsid w:val="002D4361"/>
    <w:rsid w:val="002D776E"/>
    <w:rsid w:val="002E293E"/>
    <w:rsid w:val="002F2AD1"/>
    <w:rsid w:val="00302B65"/>
    <w:rsid w:val="00302BAF"/>
    <w:rsid w:val="00305DCB"/>
    <w:rsid w:val="00306127"/>
    <w:rsid w:val="00307A4D"/>
    <w:rsid w:val="00311134"/>
    <w:rsid w:val="00320980"/>
    <w:rsid w:val="00333B92"/>
    <w:rsid w:val="003411BA"/>
    <w:rsid w:val="00347324"/>
    <w:rsid w:val="003557D1"/>
    <w:rsid w:val="00360A08"/>
    <w:rsid w:val="003658CC"/>
    <w:rsid w:val="00367DAC"/>
    <w:rsid w:val="00367F06"/>
    <w:rsid w:val="00371CAF"/>
    <w:rsid w:val="00383F38"/>
    <w:rsid w:val="003945A8"/>
    <w:rsid w:val="0039571F"/>
    <w:rsid w:val="003A699B"/>
    <w:rsid w:val="003B4E9A"/>
    <w:rsid w:val="003B7D60"/>
    <w:rsid w:val="003C3C3A"/>
    <w:rsid w:val="003C484E"/>
    <w:rsid w:val="003D0982"/>
    <w:rsid w:val="003D4467"/>
    <w:rsid w:val="003F1946"/>
    <w:rsid w:val="003F5088"/>
    <w:rsid w:val="004029F3"/>
    <w:rsid w:val="00410566"/>
    <w:rsid w:val="004123FC"/>
    <w:rsid w:val="004205CA"/>
    <w:rsid w:val="00426A82"/>
    <w:rsid w:val="00431139"/>
    <w:rsid w:val="00433DE0"/>
    <w:rsid w:val="004355BD"/>
    <w:rsid w:val="00447C6C"/>
    <w:rsid w:val="00453128"/>
    <w:rsid w:val="00470589"/>
    <w:rsid w:val="00471056"/>
    <w:rsid w:val="00483414"/>
    <w:rsid w:val="004A3A07"/>
    <w:rsid w:val="004B3023"/>
    <w:rsid w:val="004B5A5C"/>
    <w:rsid w:val="004B7209"/>
    <w:rsid w:val="004C3048"/>
    <w:rsid w:val="004D75DA"/>
    <w:rsid w:val="004E062B"/>
    <w:rsid w:val="004F15C8"/>
    <w:rsid w:val="00500C6E"/>
    <w:rsid w:val="005047F2"/>
    <w:rsid w:val="00515A3B"/>
    <w:rsid w:val="0053240A"/>
    <w:rsid w:val="00544E3D"/>
    <w:rsid w:val="005461A2"/>
    <w:rsid w:val="00554676"/>
    <w:rsid w:val="00560C0D"/>
    <w:rsid w:val="005615DC"/>
    <w:rsid w:val="00564054"/>
    <w:rsid w:val="00565889"/>
    <w:rsid w:val="00566BE9"/>
    <w:rsid w:val="0059285F"/>
    <w:rsid w:val="005B1E9B"/>
    <w:rsid w:val="005B2336"/>
    <w:rsid w:val="005B4B10"/>
    <w:rsid w:val="005C2C4E"/>
    <w:rsid w:val="005D2FBE"/>
    <w:rsid w:val="005D3D88"/>
    <w:rsid w:val="005E2D9F"/>
    <w:rsid w:val="005E54BA"/>
    <w:rsid w:val="005F47CB"/>
    <w:rsid w:val="00601FB6"/>
    <w:rsid w:val="006054E2"/>
    <w:rsid w:val="0060634C"/>
    <w:rsid w:val="006130EF"/>
    <w:rsid w:val="00614679"/>
    <w:rsid w:val="00614C87"/>
    <w:rsid w:val="00622092"/>
    <w:rsid w:val="006326C4"/>
    <w:rsid w:val="00633BEB"/>
    <w:rsid w:val="006340C8"/>
    <w:rsid w:val="00637577"/>
    <w:rsid w:val="00641FEC"/>
    <w:rsid w:val="00654333"/>
    <w:rsid w:val="00661135"/>
    <w:rsid w:val="00662475"/>
    <w:rsid w:val="0066674D"/>
    <w:rsid w:val="00690C35"/>
    <w:rsid w:val="0069229F"/>
    <w:rsid w:val="00695335"/>
    <w:rsid w:val="006A322D"/>
    <w:rsid w:val="006B670F"/>
    <w:rsid w:val="006C14F3"/>
    <w:rsid w:val="006C75E7"/>
    <w:rsid w:val="006C7F6A"/>
    <w:rsid w:val="006D21EB"/>
    <w:rsid w:val="006D2981"/>
    <w:rsid w:val="006D49A1"/>
    <w:rsid w:val="006F251A"/>
    <w:rsid w:val="006F4E9B"/>
    <w:rsid w:val="006F6327"/>
    <w:rsid w:val="00702F6A"/>
    <w:rsid w:val="007056BB"/>
    <w:rsid w:val="0070723F"/>
    <w:rsid w:val="007221CF"/>
    <w:rsid w:val="00731BBD"/>
    <w:rsid w:val="007375FB"/>
    <w:rsid w:val="00740E14"/>
    <w:rsid w:val="00750C46"/>
    <w:rsid w:val="007512CC"/>
    <w:rsid w:val="0075194D"/>
    <w:rsid w:val="0076286B"/>
    <w:rsid w:val="00776B7B"/>
    <w:rsid w:val="00786A03"/>
    <w:rsid w:val="007B39FC"/>
    <w:rsid w:val="007B7B0D"/>
    <w:rsid w:val="007B7BB9"/>
    <w:rsid w:val="007C0FB9"/>
    <w:rsid w:val="007C50BE"/>
    <w:rsid w:val="007C5595"/>
    <w:rsid w:val="00803F55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464D"/>
    <w:rsid w:val="00890C7F"/>
    <w:rsid w:val="008A6E88"/>
    <w:rsid w:val="008B1403"/>
    <w:rsid w:val="008B16B2"/>
    <w:rsid w:val="008D4752"/>
    <w:rsid w:val="008E1728"/>
    <w:rsid w:val="008E69E6"/>
    <w:rsid w:val="008F159C"/>
    <w:rsid w:val="00901BB3"/>
    <w:rsid w:val="009073DD"/>
    <w:rsid w:val="009269BD"/>
    <w:rsid w:val="00930D3C"/>
    <w:rsid w:val="0093154B"/>
    <w:rsid w:val="009332E4"/>
    <w:rsid w:val="009347B2"/>
    <w:rsid w:val="00944127"/>
    <w:rsid w:val="0094772A"/>
    <w:rsid w:val="00955F38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9F7D88"/>
    <w:rsid w:val="00A021AA"/>
    <w:rsid w:val="00A023ED"/>
    <w:rsid w:val="00A050DB"/>
    <w:rsid w:val="00A1237C"/>
    <w:rsid w:val="00A175E1"/>
    <w:rsid w:val="00A40ECC"/>
    <w:rsid w:val="00A43C37"/>
    <w:rsid w:val="00A5515C"/>
    <w:rsid w:val="00A565FE"/>
    <w:rsid w:val="00A570C2"/>
    <w:rsid w:val="00A62383"/>
    <w:rsid w:val="00A7505F"/>
    <w:rsid w:val="00A80C65"/>
    <w:rsid w:val="00A8169C"/>
    <w:rsid w:val="00A83107"/>
    <w:rsid w:val="00AD643B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27572"/>
    <w:rsid w:val="00C301CA"/>
    <w:rsid w:val="00C3665F"/>
    <w:rsid w:val="00C37B13"/>
    <w:rsid w:val="00C42605"/>
    <w:rsid w:val="00C45812"/>
    <w:rsid w:val="00C646F3"/>
    <w:rsid w:val="00C72981"/>
    <w:rsid w:val="00C72C38"/>
    <w:rsid w:val="00C844E6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25BD3"/>
    <w:rsid w:val="00D32E81"/>
    <w:rsid w:val="00D43467"/>
    <w:rsid w:val="00D56A62"/>
    <w:rsid w:val="00D62C61"/>
    <w:rsid w:val="00D646D8"/>
    <w:rsid w:val="00D67B4E"/>
    <w:rsid w:val="00D757EC"/>
    <w:rsid w:val="00D802D9"/>
    <w:rsid w:val="00D8349F"/>
    <w:rsid w:val="00D9535A"/>
    <w:rsid w:val="00DB0CAD"/>
    <w:rsid w:val="00DB4045"/>
    <w:rsid w:val="00DB4EA6"/>
    <w:rsid w:val="00DB5B02"/>
    <w:rsid w:val="00DC48BD"/>
    <w:rsid w:val="00DD09A6"/>
    <w:rsid w:val="00DD16FB"/>
    <w:rsid w:val="00DE67B2"/>
    <w:rsid w:val="00DF2B5B"/>
    <w:rsid w:val="00DF34C6"/>
    <w:rsid w:val="00DF72F5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3658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2FFB"/>
    <w:rsid w:val="00F271D7"/>
    <w:rsid w:val="00F34C54"/>
    <w:rsid w:val="00F46AB6"/>
    <w:rsid w:val="00F55E0C"/>
    <w:rsid w:val="00F62212"/>
    <w:rsid w:val="00F73BFC"/>
    <w:rsid w:val="00F81B82"/>
    <w:rsid w:val="00FA1A43"/>
    <w:rsid w:val="00FA2E83"/>
    <w:rsid w:val="00FA7BF4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70723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2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0723F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table" w:customStyle="1" w:styleId="CitaoIntensa1">
    <w:name w:val="Citação Intensa1"/>
    <w:basedOn w:val="Tabelanormal"/>
    <w:uiPriority w:val="60"/>
    <w:qFormat/>
    <w:rsid w:val="0070723F"/>
    <w:pPr>
      <w:spacing w:after="0" w:line="240" w:lineRule="auto"/>
    </w:pPr>
    <w:rPr>
      <w:rFonts w:ascii="Cambria" w:eastAsia="Times New Roman" w:hAnsi="Cambria" w:cs="Times New Roman"/>
      <w:color w:val="365F91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qFormat/>
    <w:rsid w:val="0070723F"/>
    <w:rPr>
      <w:b/>
    </w:rPr>
  </w:style>
  <w:style w:type="character" w:styleId="nfase">
    <w:name w:val="Emphasis"/>
    <w:uiPriority w:val="20"/>
    <w:qFormat/>
    <w:rsid w:val="0070723F"/>
    <w:rPr>
      <w:i/>
    </w:rPr>
  </w:style>
  <w:style w:type="paragraph" w:customStyle="1" w:styleId="disposicao">
    <w:name w:val="disposicao"/>
    <w:basedOn w:val="Normal"/>
    <w:rsid w:val="0070723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70723F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70723F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0723F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70723F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70723F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0723F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0723F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70723F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70723F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0723F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0723F"/>
    <w:rPr>
      <w:rFonts w:eastAsiaTheme="majorEastAsia" w:cstheme="majorBidi"/>
      <w:b/>
      <w:spacing w:val="5"/>
      <w:kern w:val="28"/>
      <w:sz w:val="24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707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7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723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2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23F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71"/>
    <w:rsid w:val="0070723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customStyle="1" w:styleId="TabeladeGrade1Clara1">
    <w:name w:val="Tabela de Grade 1 Clara1"/>
    <w:basedOn w:val="Tabelanormal"/>
    <w:uiPriority w:val="46"/>
    <w:rsid w:val="006D21E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6D21E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padro">
    <w:name w:val="Texto padrão"/>
    <w:basedOn w:val="Normal"/>
    <w:rsid w:val="006D21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table" w:styleId="TabelaSimples1">
    <w:name w:val="Plain Table 1"/>
    <w:basedOn w:val="Tabelanormal"/>
    <w:uiPriority w:val="41"/>
    <w:rsid w:val="006D49A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4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F2C8-AF8C-4E9B-B1FF-5522C5E5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9267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2021-08-17T15:01:00Z</cp:lastPrinted>
  <dcterms:created xsi:type="dcterms:W3CDTF">2021-08-17T15:03:00Z</dcterms:created>
  <dcterms:modified xsi:type="dcterms:W3CDTF">2021-08-17T15:03:00Z</dcterms:modified>
</cp:coreProperties>
</file>