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93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0D7C26" w:rsidTr="005F03E6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D7C26" w:rsidRDefault="00973052" w:rsidP="005F03E6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D7C26" w:rsidRDefault="005F03E6" w:rsidP="00546818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5F03E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Prot</w:t>
            </w:r>
            <w:r w:rsidR="00546818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ocolo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SICCAU nº </w:t>
            </w:r>
            <w:bookmarkStart w:id="0" w:name="_GoBack"/>
            <w:r w:rsidR="001C18C4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1262070</w:t>
            </w:r>
            <w:bookmarkEnd w:id="0"/>
            <w:r w:rsidRPr="005F03E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0D7C26" w:rsidTr="005F03E6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D7C26" w:rsidRDefault="00973052" w:rsidP="005F03E6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D7C26" w:rsidRDefault="00546818" w:rsidP="00546818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Gerência Administrativa Financeira</w:t>
            </w:r>
          </w:p>
        </w:tc>
      </w:tr>
      <w:tr w:rsidR="00361579" w:rsidRPr="000D7C26" w:rsidTr="005F03E6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61579" w:rsidRPr="000D7C26" w:rsidRDefault="00361579" w:rsidP="005F03E6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61579" w:rsidRPr="006209BF" w:rsidRDefault="00361579" w:rsidP="005F03E6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</w:t>
            </w:r>
            <w:r w:rsidRPr="00130659">
              <w:rPr>
                <w:rFonts w:ascii="Calibri" w:hAnsi="Calibri" w:cs="Calibri"/>
                <w:sz w:val="22"/>
                <w:szCs w:val="20"/>
              </w:rPr>
              <w:t xml:space="preserve">senção </w:t>
            </w:r>
            <w:r>
              <w:rPr>
                <w:rFonts w:ascii="Calibri" w:hAnsi="Calibri" w:cs="Calibri"/>
                <w:sz w:val="22"/>
                <w:szCs w:val="20"/>
              </w:rPr>
              <w:t>de anuidade - C</w:t>
            </w:r>
            <w:r w:rsidRPr="00130659">
              <w:rPr>
                <w:rFonts w:ascii="Calibri" w:hAnsi="Calibri" w:cs="Calibri"/>
                <w:sz w:val="22"/>
                <w:szCs w:val="20"/>
              </w:rPr>
              <w:t xml:space="preserve">omprovação de </w:t>
            </w:r>
            <w:r>
              <w:rPr>
                <w:rFonts w:ascii="Calibri" w:hAnsi="Calibri" w:cs="Calibri"/>
                <w:sz w:val="22"/>
                <w:szCs w:val="20"/>
              </w:rPr>
              <w:t>D</w:t>
            </w:r>
            <w:r w:rsidRPr="00130659">
              <w:rPr>
                <w:rFonts w:ascii="Calibri" w:hAnsi="Calibri" w:cs="Calibri"/>
                <w:sz w:val="22"/>
                <w:szCs w:val="20"/>
              </w:rPr>
              <w:t xml:space="preserve">oença </w:t>
            </w:r>
            <w:r>
              <w:rPr>
                <w:rFonts w:ascii="Calibri" w:hAnsi="Calibri" w:cs="Calibri"/>
                <w:sz w:val="22"/>
                <w:szCs w:val="20"/>
              </w:rPr>
              <w:t>G</w:t>
            </w:r>
            <w:r w:rsidRPr="00130659">
              <w:rPr>
                <w:rFonts w:ascii="Calibri" w:hAnsi="Calibri" w:cs="Calibri"/>
                <w:sz w:val="22"/>
                <w:szCs w:val="20"/>
              </w:rPr>
              <w:t>rave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35742C">
        <w:rPr>
          <w:rFonts w:ascii="Calibri" w:hAnsi="Calibri" w:cs="Calibri"/>
          <w:sz w:val="22"/>
          <w:szCs w:val="22"/>
          <w:lang w:eastAsia="pt-BR"/>
        </w:rPr>
        <w:t>130</w:t>
      </w:r>
      <w:r w:rsidR="00546818">
        <w:rPr>
          <w:rFonts w:ascii="Calibri" w:hAnsi="Calibri" w:cs="Calibri"/>
          <w:sz w:val="22"/>
          <w:szCs w:val="22"/>
          <w:lang w:eastAsia="pt-BR"/>
        </w:rPr>
        <w:t>9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Default="00177384" w:rsidP="008E10C8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361579" w:rsidRPr="00130659" w:rsidRDefault="00361579" w:rsidP="005F03E6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130659">
        <w:rPr>
          <w:rFonts w:ascii="Calibri" w:hAnsi="Calibri" w:cs="Calibri"/>
          <w:sz w:val="20"/>
          <w:szCs w:val="20"/>
        </w:rPr>
        <w:t xml:space="preserve">Homologar a procedência das solicitações de isenção </w:t>
      </w:r>
      <w:r>
        <w:rPr>
          <w:rFonts w:ascii="Calibri" w:hAnsi="Calibri" w:cs="Calibri"/>
          <w:sz w:val="20"/>
          <w:szCs w:val="20"/>
        </w:rPr>
        <w:t xml:space="preserve">de anuidade </w:t>
      </w:r>
      <w:r w:rsidRPr="00130659">
        <w:rPr>
          <w:rFonts w:ascii="Calibri" w:hAnsi="Calibri" w:cs="Calibri"/>
          <w:sz w:val="20"/>
          <w:szCs w:val="20"/>
        </w:rPr>
        <w:t>por comprovação de doe</w:t>
      </w:r>
      <w:r w:rsidR="00546818">
        <w:rPr>
          <w:rFonts w:ascii="Calibri" w:hAnsi="Calibri" w:cs="Calibri"/>
          <w:sz w:val="20"/>
          <w:szCs w:val="20"/>
        </w:rPr>
        <w:t xml:space="preserve">nça grave, conforme solicitação constante no Protocolo </w:t>
      </w:r>
      <w:r w:rsidRPr="00130659">
        <w:rPr>
          <w:rFonts w:ascii="Calibri" w:hAnsi="Calibri" w:cs="Calibri"/>
          <w:sz w:val="20"/>
          <w:szCs w:val="20"/>
        </w:rPr>
        <w:t xml:space="preserve">SICCAU nº </w:t>
      </w:r>
      <w:r w:rsidR="001C18C4">
        <w:rPr>
          <w:rFonts w:ascii="Calibri" w:hAnsi="Calibri" w:cs="Calibri"/>
          <w:sz w:val="20"/>
          <w:szCs w:val="20"/>
        </w:rPr>
        <w:t>1262070</w:t>
      </w:r>
      <w:r w:rsidR="005F03E6">
        <w:rPr>
          <w:rFonts w:ascii="Calibri" w:hAnsi="Calibri" w:cs="Calibri"/>
          <w:sz w:val="20"/>
          <w:szCs w:val="20"/>
        </w:rPr>
        <w:t>/2021</w:t>
      </w:r>
      <w:r w:rsidRPr="00130659">
        <w:rPr>
          <w:rFonts w:ascii="Calibri" w:hAnsi="Calibri" w:cs="Calibri"/>
          <w:sz w:val="20"/>
          <w:szCs w:val="20"/>
        </w:rPr>
        <w:t>.</w:t>
      </w:r>
    </w:p>
    <w:p w:rsidR="00361579" w:rsidRDefault="00361579" w:rsidP="0036157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0E3CCA" w:rsidRDefault="007E0A49" w:rsidP="00B5097C">
      <w:pPr>
        <w:jc w:val="both"/>
        <w:rPr>
          <w:rFonts w:ascii="Calibri" w:hAnsi="Calibri" w:cs="Calibri"/>
          <w:sz w:val="22"/>
          <w:szCs w:val="22"/>
        </w:rPr>
      </w:pPr>
      <w:r w:rsidRPr="000E3CCA">
        <w:rPr>
          <w:rFonts w:ascii="Calibri" w:hAnsi="Calibri" w:cs="Calibr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0E3CCA">
        <w:rPr>
          <w:rFonts w:ascii="Calibri" w:hAnsi="Calibri" w:cs="Calibr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546818" w:rsidRPr="002D30D2">
        <w:rPr>
          <w:rFonts w:ascii="Calibri" w:hAnsi="Calibri" w:cs="Calibri"/>
          <w:sz w:val="22"/>
          <w:szCs w:val="22"/>
        </w:rPr>
        <w:t xml:space="preserve">28 de maio de </w:t>
      </w:r>
      <w:r w:rsidR="00916501" w:rsidRPr="000E3CCA">
        <w:rPr>
          <w:rFonts w:ascii="Calibri" w:hAnsi="Calibri" w:cs="Calibri"/>
          <w:sz w:val="22"/>
          <w:szCs w:val="22"/>
        </w:rPr>
        <w:t>202</w:t>
      </w:r>
      <w:r w:rsidR="00311422" w:rsidRPr="000E3CCA">
        <w:rPr>
          <w:rFonts w:ascii="Calibri" w:hAnsi="Calibri" w:cs="Calibri"/>
          <w:sz w:val="22"/>
          <w:szCs w:val="22"/>
        </w:rPr>
        <w:t>1</w:t>
      </w:r>
      <w:r w:rsidR="00916501" w:rsidRPr="000E3CCA">
        <w:rPr>
          <w:rFonts w:ascii="Calibri" w:hAnsi="Calibri" w:cs="Calibri"/>
          <w:sz w:val="22"/>
          <w:szCs w:val="22"/>
        </w:rPr>
        <w:t>, após análise do assunto em epígrafe, e</w:t>
      </w:r>
    </w:p>
    <w:p w:rsidR="00500522" w:rsidRDefault="003F533C" w:rsidP="005005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 xml:space="preserve">Considerando que o inciso VI, do art. 34, da Lei nº 12.378/2010, estabelece que compete aos </w:t>
      </w:r>
      <w:proofErr w:type="spellStart"/>
      <w:r w:rsidRPr="001513D4">
        <w:rPr>
          <w:rFonts w:ascii="Calibri" w:hAnsi="Calibri" w:cs="Calibri"/>
          <w:sz w:val="22"/>
        </w:rPr>
        <w:t>CAUs</w:t>
      </w:r>
      <w:proofErr w:type="spellEnd"/>
      <w:r w:rsidRPr="001513D4">
        <w:rPr>
          <w:rFonts w:ascii="Calibri" w:hAnsi="Calibri" w:cs="Calibri"/>
          <w:sz w:val="22"/>
        </w:rPr>
        <w:t xml:space="preserve"> a cobrança das anuidades;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0"/>
        </w:rPr>
      </w:pPr>
      <w:r w:rsidRPr="001513D4">
        <w:rPr>
          <w:rFonts w:ascii="Calibri" w:hAnsi="Calibri" w:cs="Calibri"/>
          <w:sz w:val="22"/>
        </w:rPr>
        <w:t xml:space="preserve">Considerando o disposto no § 6º, do art. 150, da Constituição Federal, o qual estabelece que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0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 xml:space="preserve">Considerando que o inciso II, do art. 111, do Código Tributário Nacional, estipula que se interpreta literalmente a legislação tributária que disponha sobre, entre outros,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>outorga de isenção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>Considerando que o inciso I, do art. 175, do Código Tributário Nacional, define a isenção como causa de exclusão do crédito tributário;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0"/>
        </w:rPr>
      </w:pPr>
      <w:r w:rsidRPr="001513D4">
        <w:rPr>
          <w:rFonts w:ascii="Calibri" w:hAnsi="Calibri" w:cs="Calibri"/>
          <w:sz w:val="22"/>
        </w:rPr>
        <w:t xml:space="preserve">Considerando o disposto no art. 176, do Código Tributário Nacional, o qual estabelece que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 xml:space="preserve">Considerando o disposto no art. 179, do Código Tributário Nacional, o qual define que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0"/>
        </w:rPr>
      </w:pPr>
      <w:r w:rsidRPr="001513D4">
        <w:rPr>
          <w:rFonts w:ascii="Calibri" w:hAnsi="Calibri" w:cs="Calibri"/>
          <w:sz w:val="22"/>
        </w:rPr>
        <w:t xml:space="preserve">Considerando que, embora a Lei nº 12.378/2010 não estabeleça a possibilidade de isenção de anuidade em razão de doença grave, o § 2º, do art. 6º, da Lei nº 12.514/2011, instituiu que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0"/>
        </w:rPr>
      </w:pPr>
      <w:r w:rsidRPr="001513D4">
        <w:rPr>
          <w:rFonts w:ascii="Calibri" w:hAnsi="Calibri" w:cs="Calibri"/>
          <w:sz w:val="22"/>
        </w:rPr>
        <w:t xml:space="preserve">Considerando o disposto no art. 2º, inciso VII, da Resolução nº 134 do CAU/BR, o qual estabelece que </w:t>
      </w:r>
      <w:r w:rsidRPr="001513D4">
        <w:rPr>
          <w:rFonts w:ascii="Calibri" w:hAnsi="Calibri" w:cs="Calibri"/>
          <w:sz w:val="20"/>
        </w:rPr>
        <w:t>“</w:t>
      </w:r>
      <w:r w:rsidRPr="001513D4">
        <w:rPr>
          <w:rFonts w:ascii="Calibri" w:hAnsi="Calibri" w:cs="Calibri"/>
          <w:i/>
          <w:sz w:val="20"/>
        </w:rPr>
        <w:t xml:space="preserve">ficarão ainda isentos do pagamento da anuidade os arquitetos e urbanistas portadores de doença grave prevista </w:t>
      </w:r>
      <w:r w:rsidRPr="001513D4">
        <w:rPr>
          <w:rFonts w:ascii="Calibri" w:hAnsi="Calibri" w:cs="Calibri"/>
          <w:i/>
          <w:sz w:val="20"/>
        </w:rPr>
        <w:lastRenderedPageBreak/>
        <w:t>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1513D4">
        <w:rPr>
          <w:rFonts w:ascii="Calibri" w:hAnsi="Calibri" w:cs="Calibri"/>
          <w:sz w:val="20"/>
        </w:rPr>
        <w:t>”;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>Considerando o disposto na Lei nº 7.713/1988, que estabelece: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“Art. 6º Ficam isentos do imposto de renda os seguintes rendimentos percebidos por pessoas físicas: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(...)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1513D4">
        <w:rPr>
          <w:rFonts w:ascii="Calibri" w:hAnsi="Calibri" w:cs="Calibri"/>
          <w:i/>
          <w:sz w:val="20"/>
        </w:rPr>
        <w:t>espondiloartrose</w:t>
      </w:r>
      <w:proofErr w:type="spellEnd"/>
      <w:r w:rsidRPr="001513D4">
        <w:rPr>
          <w:rFonts w:ascii="Calibri" w:hAnsi="Calibri" w:cs="Calibri"/>
          <w:i/>
          <w:sz w:val="20"/>
        </w:rPr>
        <w:t xml:space="preserve"> anquilosante, </w:t>
      </w:r>
      <w:proofErr w:type="spellStart"/>
      <w:r w:rsidRPr="001513D4">
        <w:rPr>
          <w:rFonts w:ascii="Calibri" w:hAnsi="Calibri" w:cs="Calibri"/>
          <w:i/>
          <w:sz w:val="20"/>
        </w:rPr>
        <w:t>nefropatia</w:t>
      </w:r>
      <w:proofErr w:type="spellEnd"/>
      <w:r w:rsidRPr="001513D4">
        <w:rPr>
          <w:rFonts w:ascii="Calibri" w:hAnsi="Calibri" w:cs="Calibri"/>
          <w:i/>
          <w:sz w:val="20"/>
        </w:rPr>
        <w:t xml:space="preserve"> grave, hepatopatia grave, estados avançados da doença de </w:t>
      </w:r>
      <w:proofErr w:type="spellStart"/>
      <w:r w:rsidRPr="001513D4">
        <w:rPr>
          <w:rFonts w:ascii="Calibri" w:hAnsi="Calibri" w:cs="Calibri"/>
          <w:i/>
          <w:sz w:val="20"/>
        </w:rPr>
        <w:t>Paget</w:t>
      </w:r>
      <w:proofErr w:type="spellEnd"/>
      <w:r w:rsidRPr="001513D4">
        <w:rPr>
          <w:rFonts w:ascii="Calibri" w:hAnsi="Calibri" w:cs="Calibri"/>
          <w:i/>
          <w:sz w:val="20"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(...)”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>Considerando o disposto na Instrução Normativa nº 1.500/2014, da Receita Federal Brasileira, que institui: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“Art. 6º São isentos ou não se sujeitam ao imposto sobre a renda, os seguintes rendimentos originários pagos por previdências: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(...)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1513D4">
        <w:rPr>
          <w:rFonts w:ascii="Calibri" w:hAnsi="Calibri" w:cs="Calibri"/>
          <w:i/>
          <w:sz w:val="20"/>
        </w:rPr>
        <w:t>espondiloartrose</w:t>
      </w:r>
      <w:proofErr w:type="spellEnd"/>
      <w:r w:rsidRPr="001513D4">
        <w:rPr>
          <w:rFonts w:ascii="Calibri" w:hAnsi="Calibri" w:cs="Calibri"/>
          <w:i/>
          <w:sz w:val="20"/>
        </w:rPr>
        <w:t xml:space="preserve"> anquilosante, </w:t>
      </w:r>
      <w:proofErr w:type="spellStart"/>
      <w:r w:rsidRPr="001513D4">
        <w:rPr>
          <w:rFonts w:ascii="Calibri" w:hAnsi="Calibri" w:cs="Calibri"/>
          <w:i/>
          <w:sz w:val="20"/>
        </w:rPr>
        <w:t>nefropatia</w:t>
      </w:r>
      <w:proofErr w:type="spellEnd"/>
      <w:r w:rsidRPr="001513D4">
        <w:rPr>
          <w:rFonts w:ascii="Calibri" w:hAnsi="Calibri" w:cs="Calibri"/>
          <w:i/>
          <w:sz w:val="20"/>
        </w:rPr>
        <w:t xml:space="preserve"> grave, hepatopatia grave, estados avançados de doença de </w:t>
      </w:r>
      <w:proofErr w:type="spellStart"/>
      <w:r w:rsidRPr="001513D4">
        <w:rPr>
          <w:rFonts w:ascii="Calibri" w:hAnsi="Calibri" w:cs="Calibri"/>
          <w:i/>
          <w:sz w:val="20"/>
        </w:rPr>
        <w:t>Paget</w:t>
      </w:r>
      <w:proofErr w:type="spellEnd"/>
      <w:r w:rsidRPr="001513D4">
        <w:rPr>
          <w:rFonts w:ascii="Calibri" w:hAnsi="Calibri" w:cs="Calibri"/>
          <w:i/>
          <w:sz w:val="20"/>
        </w:rPr>
        <w:t xml:space="preserve"> (osteíte deformante), contaminação por radiação, síndrome de imunodeficiência adquirida (Aids), e fibrose cística (</w:t>
      </w:r>
      <w:proofErr w:type="spellStart"/>
      <w:r w:rsidRPr="001513D4">
        <w:rPr>
          <w:rFonts w:ascii="Calibri" w:hAnsi="Calibri" w:cs="Calibri"/>
          <w:i/>
          <w:sz w:val="20"/>
        </w:rPr>
        <w:t>mucoviscidose</w:t>
      </w:r>
      <w:proofErr w:type="spellEnd"/>
      <w:r w:rsidRPr="001513D4">
        <w:rPr>
          <w:rFonts w:ascii="Calibri" w:hAnsi="Calibri" w:cs="Calibri"/>
          <w:i/>
          <w:sz w:val="20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(...)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I - aos rendimentos recebidos a partir: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a) do mês da concessão da aposentadoria, reforma ou pensão, quando a moléstia for preexistente;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b) do mês da emissão do laudo pericial, se a moléstia for contraída depois da concessão da aposentadoria, reforma ou pensão; ou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c) da data, identificada no laudo pericial, em que a moléstia foi contraída, desde que correspondam a proventos de aposentadoria, reforma ou pensão;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513D4">
        <w:rPr>
          <w:rFonts w:ascii="Calibri" w:hAnsi="Calibri" w:cs="Calibri"/>
          <w:i/>
          <w:sz w:val="20"/>
        </w:rPr>
        <w:t>pelo(</w:t>
      </w:r>
      <w:proofErr w:type="gramEnd"/>
      <w:r w:rsidRPr="001513D4">
        <w:rPr>
          <w:rFonts w:ascii="Calibri" w:hAnsi="Calibri" w:cs="Calibri"/>
          <w:i/>
          <w:sz w:val="20"/>
        </w:rPr>
        <w:t>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lastRenderedPageBreak/>
        <w:t xml:space="preserve">III - à complementação de aposentadoria, reforma ou pensão recebida por pessoa física com moléstia grave. (Redação dada </w:t>
      </w:r>
      <w:proofErr w:type="gramStart"/>
      <w:r w:rsidRPr="001513D4">
        <w:rPr>
          <w:rFonts w:ascii="Calibri" w:hAnsi="Calibri" w:cs="Calibri"/>
          <w:i/>
          <w:sz w:val="20"/>
        </w:rPr>
        <w:t>pelo(</w:t>
      </w:r>
      <w:proofErr w:type="gramEnd"/>
      <w:r w:rsidRPr="001513D4">
        <w:rPr>
          <w:rFonts w:ascii="Calibri" w:hAnsi="Calibri" w:cs="Calibri"/>
          <w:i/>
          <w:sz w:val="20"/>
        </w:rPr>
        <w:t>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§ 5º O laudo pericial a que se refere o § 4º deve conter, no mínimo, as seguintes informações:</w:t>
      </w:r>
    </w:p>
    <w:p w:rsidR="00361579" w:rsidRPr="001513D4" w:rsidRDefault="00361579" w:rsidP="00361579">
      <w:pPr>
        <w:tabs>
          <w:tab w:val="left" w:pos="1418"/>
          <w:tab w:val="left" w:pos="6035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I - o órgão emissor;</w:t>
      </w:r>
      <w:r w:rsidRPr="001513D4">
        <w:rPr>
          <w:rFonts w:ascii="Calibri" w:hAnsi="Calibri" w:cs="Calibri"/>
          <w:i/>
          <w:sz w:val="20"/>
        </w:rPr>
        <w:tab/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II - a qualificação do portador da moléstia;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II - a qualificação da pessoa física com moléstia grave; (Redação dada </w:t>
      </w:r>
      <w:proofErr w:type="gramStart"/>
      <w:r w:rsidRPr="001513D4">
        <w:rPr>
          <w:rFonts w:ascii="Calibri" w:hAnsi="Calibri" w:cs="Calibri"/>
          <w:i/>
          <w:sz w:val="20"/>
        </w:rPr>
        <w:t>pelo(</w:t>
      </w:r>
      <w:proofErr w:type="gramEnd"/>
      <w:r w:rsidRPr="001513D4">
        <w:rPr>
          <w:rFonts w:ascii="Calibri" w:hAnsi="Calibri" w:cs="Calibri"/>
          <w:i/>
          <w:sz w:val="20"/>
        </w:rPr>
        <w:t>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1513D4">
        <w:rPr>
          <w:rFonts w:ascii="Calibri" w:hAnsi="Calibri" w:cs="Calibri"/>
          <w:i/>
          <w:sz w:val="20"/>
        </w:rPr>
        <w:t>pelo(</w:t>
      </w:r>
      <w:proofErr w:type="gramEnd"/>
      <w:r w:rsidRPr="001513D4">
        <w:rPr>
          <w:rFonts w:ascii="Calibri" w:hAnsi="Calibri" w:cs="Calibri"/>
          <w:i/>
          <w:sz w:val="20"/>
        </w:rPr>
        <w:t>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IV - caso a moléstia seja passível de controle, o prazo de validade do laudo pericial ao fim do qual o portador de moléstia grave provavelmente esteja assintomático; e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1513D4">
        <w:rPr>
          <w:rFonts w:ascii="Calibri" w:hAnsi="Calibri" w:cs="Calibri"/>
          <w:i/>
          <w:sz w:val="20"/>
        </w:rPr>
        <w:t>pelo(</w:t>
      </w:r>
      <w:proofErr w:type="gramEnd"/>
      <w:r w:rsidRPr="001513D4">
        <w:rPr>
          <w:rFonts w:ascii="Calibri" w:hAnsi="Calibri" w:cs="Calibri"/>
          <w:i/>
          <w:sz w:val="20"/>
        </w:rPr>
        <w:t>a) Instrução Normativa RFB nº 1756, de 31 de outubro de 2017)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1513D4">
        <w:rPr>
          <w:rFonts w:ascii="Calibri" w:hAnsi="Calibri" w:cs="Calibri"/>
          <w:i/>
          <w:sz w:val="20"/>
        </w:rPr>
        <w:t>do(</w:t>
      </w:r>
      <w:proofErr w:type="gramEnd"/>
      <w:r w:rsidRPr="001513D4">
        <w:rPr>
          <w:rFonts w:ascii="Calibri" w:hAnsi="Calibri" w:cs="Calibri"/>
          <w:i/>
          <w:sz w:val="20"/>
        </w:rPr>
        <w:t>s) profissional(</w:t>
      </w:r>
      <w:proofErr w:type="spellStart"/>
      <w:r w:rsidRPr="001513D4">
        <w:rPr>
          <w:rFonts w:ascii="Calibri" w:hAnsi="Calibri" w:cs="Calibri"/>
          <w:i/>
          <w:sz w:val="20"/>
        </w:rPr>
        <w:t>is</w:t>
      </w:r>
      <w:proofErr w:type="spellEnd"/>
      <w:r w:rsidRPr="001513D4">
        <w:rPr>
          <w:rFonts w:ascii="Calibri" w:hAnsi="Calibri" w:cs="Calibri"/>
          <w:i/>
          <w:sz w:val="20"/>
        </w:rPr>
        <w:t>) do serviço médico oficial responsável(</w:t>
      </w:r>
      <w:proofErr w:type="spellStart"/>
      <w:r w:rsidRPr="001513D4">
        <w:rPr>
          <w:rFonts w:ascii="Calibri" w:hAnsi="Calibri" w:cs="Calibri"/>
          <w:i/>
          <w:sz w:val="20"/>
        </w:rPr>
        <w:t>is</w:t>
      </w:r>
      <w:proofErr w:type="spellEnd"/>
      <w:r w:rsidRPr="001513D4">
        <w:rPr>
          <w:rFonts w:ascii="Calibri" w:hAnsi="Calibri" w:cs="Calibri"/>
          <w:i/>
          <w:sz w:val="20"/>
        </w:rPr>
        <w:t>) pela emissão do laudo pericial.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(...)</w:t>
      </w:r>
    </w:p>
    <w:p w:rsidR="00361579" w:rsidRPr="001513D4" w:rsidRDefault="00361579" w:rsidP="00361579">
      <w:pPr>
        <w:tabs>
          <w:tab w:val="left" w:pos="1418"/>
        </w:tabs>
        <w:ind w:left="1134"/>
        <w:jc w:val="both"/>
        <w:rPr>
          <w:rFonts w:ascii="Calibri" w:hAnsi="Calibri" w:cs="Calibri"/>
          <w:i/>
          <w:sz w:val="20"/>
        </w:rPr>
      </w:pPr>
      <w:r w:rsidRPr="001513D4">
        <w:rPr>
          <w:rFonts w:ascii="Calibri" w:hAnsi="Calibri" w:cs="Calibri"/>
          <w:i/>
          <w:sz w:val="20"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1513D4">
        <w:rPr>
          <w:rFonts w:ascii="Calibri" w:hAnsi="Calibri" w:cs="Calibri"/>
          <w:i/>
          <w:sz w:val="20"/>
        </w:rPr>
        <w:t>Incluído(</w:t>
      </w:r>
      <w:proofErr w:type="gramEnd"/>
      <w:r w:rsidRPr="001513D4">
        <w:rPr>
          <w:rFonts w:ascii="Calibri" w:hAnsi="Calibri" w:cs="Calibri"/>
          <w:i/>
          <w:sz w:val="20"/>
        </w:rPr>
        <w:t>a) pelo(a) Instrução Normativa RFB nº 1756, de 31 de outubro de 2017)”</w:t>
      </w: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361579" w:rsidRPr="001513D4" w:rsidRDefault="00361579" w:rsidP="00361579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  <w:r w:rsidRPr="001513D4">
        <w:rPr>
          <w:rFonts w:ascii="Calibri" w:hAnsi="Calibri" w:cs="Calibri"/>
          <w:sz w:val="22"/>
        </w:rPr>
        <w:t>Considerando a</w:t>
      </w:r>
      <w:r w:rsidR="00546818">
        <w:rPr>
          <w:rFonts w:ascii="Calibri" w:hAnsi="Calibri" w:cs="Calibri"/>
          <w:sz w:val="22"/>
        </w:rPr>
        <w:t xml:space="preserve"> Deliberação</w:t>
      </w:r>
      <w:r w:rsidRPr="001513D4">
        <w:rPr>
          <w:rFonts w:ascii="Calibri" w:hAnsi="Calibri" w:cs="Calibri"/>
          <w:sz w:val="22"/>
        </w:rPr>
        <w:t xml:space="preserve"> CPFI-CAU/RS nº </w:t>
      </w:r>
      <w:r w:rsidR="005F03E6">
        <w:rPr>
          <w:rFonts w:ascii="Calibri" w:hAnsi="Calibri" w:cs="Calibri"/>
          <w:sz w:val="22"/>
        </w:rPr>
        <w:t xml:space="preserve">019/2021 </w:t>
      </w:r>
      <w:r w:rsidR="00546818">
        <w:rPr>
          <w:rFonts w:ascii="Calibri" w:hAnsi="Calibri" w:cs="Calibri"/>
          <w:sz w:val="22"/>
        </w:rPr>
        <w:t>que aprova a procedência da solicitação de isenção de</w:t>
      </w:r>
      <w:r w:rsidRPr="001513D4">
        <w:rPr>
          <w:rFonts w:ascii="Calibri" w:hAnsi="Calibri" w:cs="Calibri"/>
          <w:sz w:val="22"/>
        </w:rPr>
        <w:t xml:space="preserve"> anuidade, por comprovação de doença grave no período.</w:t>
      </w:r>
    </w:p>
    <w:p w:rsidR="00B35374" w:rsidRDefault="00B35374" w:rsidP="003F533C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6E5CCB" w:rsidRDefault="00B5097C" w:rsidP="00B5097C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="006E5CCB"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:rsidR="008860C8" w:rsidRDefault="008860C8" w:rsidP="00B5097C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361579" w:rsidRPr="001513D4" w:rsidRDefault="00546818" w:rsidP="00361579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426" w:hanging="426"/>
        <w:jc w:val="both"/>
        <w:rPr>
          <w:rFonts w:asciiTheme="minorHAnsi" w:hAnsiTheme="minorHAnsi" w:cstheme="minorHAnsi"/>
          <w:sz w:val="22"/>
        </w:rPr>
      </w:pPr>
      <w:r w:rsidRPr="003B2534">
        <w:rPr>
          <w:rFonts w:asciiTheme="minorHAnsi" w:hAnsiTheme="minorHAnsi" w:cstheme="minorHAnsi"/>
          <w:sz w:val="22"/>
          <w:szCs w:val="22"/>
        </w:rPr>
        <w:t>Homologar a procedência da solicitação de isenção da anuidade 2021 por comprovação de doença grave, conforme comprovações constantes no</w:t>
      </w:r>
      <w:r>
        <w:rPr>
          <w:rFonts w:asciiTheme="minorHAnsi" w:hAnsiTheme="minorHAnsi" w:cstheme="minorHAnsi"/>
          <w:sz w:val="22"/>
          <w:szCs w:val="22"/>
        </w:rPr>
        <w:t xml:space="preserve"> Protocolo</w:t>
      </w:r>
      <w:r w:rsidRPr="003B2534">
        <w:rPr>
          <w:rFonts w:asciiTheme="minorHAnsi" w:hAnsiTheme="minorHAnsi" w:cstheme="minorHAnsi"/>
          <w:sz w:val="22"/>
          <w:szCs w:val="22"/>
        </w:rPr>
        <w:t xml:space="preserve"> </w:t>
      </w:r>
      <w:r w:rsidR="00361579" w:rsidRPr="001513D4">
        <w:rPr>
          <w:rFonts w:asciiTheme="minorHAnsi" w:hAnsiTheme="minorHAnsi" w:cstheme="minorHAnsi"/>
          <w:sz w:val="22"/>
        </w:rPr>
        <w:t xml:space="preserve">SICCAU nº </w:t>
      </w:r>
      <w:r w:rsidR="001C18C4">
        <w:rPr>
          <w:rFonts w:ascii="Calibri" w:hAnsi="Calibri" w:cs="Calibri"/>
          <w:bCs/>
          <w:sz w:val="22"/>
          <w:szCs w:val="22"/>
          <w:lang w:eastAsia="pt-BR"/>
        </w:rPr>
        <w:t>1262070</w:t>
      </w:r>
      <w:r w:rsidR="005F03E6" w:rsidRPr="005F03E6">
        <w:rPr>
          <w:rFonts w:ascii="Calibri" w:hAnsi="Calibri" w:cs="Calibri"/>
          <w:bCs/>
          <w:sz w:val="22"/>
          <w:szCs w:val="22"/>
          <w:lang w:eastAsia="pt-BR"/>
        </w:rPr>
        <w:t>/2</w:t>
      </w:r>
      <w:r w:rsidR="005F03E6">
        <w:rPr>
          <w:rFonts w:ascii="Calibri" w:hAnsi="Calibri" w:cs="Calibri"/>
          <w:bCs/>
          <w:sz w:val="22"/>
          <w:szCs w:val="22"/>
          <w:lang w:eastAsia="pt-BR"/>
        </w:rPr>
        <w:t>021</w:t>
      </w:r>
      <w:r w:rsidR="00361579" w:rsidRPr="001513D4">
        <w:rPr>
          <w:rFonts w:asciiTheme="minorHAnsi" w:hAnsiTheme="minorHAnsi" w:cstheme="minorHAnsi"/>
          <w:sz w:val="22"/>
        </w:rPr>
        <w:t>;</w:t>
      </w:r>
    </w:p>
    <w:p w:rsidR="00361579" w:rsidRDefault="00361579" w:rsidP="00361579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2"/>
        </w:rPr>
      </w:pPr>
    </w:p>
    <w:p w:rsidR="00546818" w:rsidRPr="003B2534" w:rsidRDefault="00546818" w:rsidP="00546818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2534">
        <w:rPr>
          <w:rFonts w:asciiTheme="minorHAnsi" w:hAnsiTheme="minorHAnsi" w:cstheme="minorHAnsi"/>
          <w:sz w:val="22"/>
          <w:szCs w:val="22"/>
        </w:rPr>
        <w:t>Informar à profissional solicitante que a isenção é válida para o período indicado no laudo médico, não impedindo a cobrança de débitos de exercícios anteriores ao diagnóstico;</w:t>
      </w:r>
    </w:p>
    <w:p w:rsidR="00361579" w:rsidRPr="00361579" w:rsidRDefault="00361579" w:rsidP="00361579">
      <w:pPr>
        <w:pStyle w:val="PargrafodaLista"/>
        <w:rPr>
          <w:rFonts w:asciiTheme="minorHAnsi" w:hAnsiTheme="minorHAnsi" w:cstheme="minorHAnsi"/>
          <w:sz w:val="22"/>
        </w:rPr>
      </w:pPr>
    </w:p>
    <w:p w:rsidR="00546818" w:rsidRPr="003B2534" w:rsidRDefault="00546818" w:rsidP="00546818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2534">
        <w:rPr>
          <w:rFonts w:asciiTheme="minorHAnsi" w:hAnsiTheme="minorHAnsi" w:cstheme="minorHAnsi"/>
          <w:sz w:val="22"/>
          <w:szCs w:val="22"/>
        </w:rPr>
        <w:t xml:space="preserve">Determinar que a Gerência Administrativa Financeira informe à requerente que a isenção será válida enquanto perdurar o estado de doença, devendo a comprovação ser feita pela profissional, anualmente, até a efetiva cura; </w:t>
      </w:r>
    </w:p>
    <w:p w:rsidR="00546818" w:rsidRPr="003B2534" w:rsidRDefault="00546818" w:rsidP="0054681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546818" w:rsidRPr="003B2534" w:rsidRDefault="00546818" w:rsidP="00546818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2534">
        <w:rPr>
          <w:rFonts w:asciiTheme="minorHAnsi" w:hAnsiTheme="minorHAnsi" w:cstheme="minorHAnsi"/>
          <w:sz w:val="22"/>
          <w:szCs w:val="22"/>
        </w:rPr>
        <w:t>Determinar que a Gerência Administrativa Financeira encaminhe, posteriormente o protocolo à Gerência de Atendimento para que a mesma proceda com a respectiva interrupção/baixa de ofício, a fim de adequar o registro de acordo com os termos dessa deliberação.</w:t>
      </w:r>
    </w:p>
    <w:p w:rsidR="000D7C26" w:rsidRPr="000E3CCA" w:rsidRDefault="000D7C26" w:rsidP="008E10C8">
      <w:pPr>
        <w:pStyle w:val="PargrafodaLista"/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35742C" w:rsidRPr="00DE5FFC" w:rsidRDefault="0035742C" w:rsidP="0035742C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DE5FFC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35742C" w:rsidRDefault="0035742C" w:rsidP="0035742C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46818" w:rsidRPr="003B2534" w:rsidRDefault="00546818" w:rsidP="00546818">
      <w:pPr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3B2534">
        <w:rPr>
          <w:rFonts w:asciiTheme="minorHAnsi" w:hAnsiTheme="minorHAnsi" w:cstheme="minorHAnsi"/>
          <w:sz w:val="22"/>
          <w:szCs w:val="22"/>
          <w:lang w:eastAsia="pt-BR"/>
        </w:rPr>
        <w:t xml:space="preserve">Com 20 (vinte) votos favoráveis, das conselheiras Andréa Larruscahim Hamilton Ilha, Cecília Giovenardi Esteves, Débora Francele Rodrigues da Silva, Deise Flores Santos, Denise dos Santos Simões, Gislaine </w:t>
      </w:r>
      <w:r w:rsidRPr="003B2534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Vargas Saibro, Ingrid Louise de Souza Dahm, Lidia Glacir Gomes Rodri</w:t>
      </w:r>
      <w:r>
        <w:rPr>
          <w:rFonts w:asciiTheme="minorHAnsi" w:hAnsiTheme="minorHAnsi" w:cstheme="minorHAnsi"/>
          <w:sz w:val="22"/>
          <w:szCs w:val="22"/>
          <w:lang w:eastAsia="pt-BR"/>
        </w:rPr>
        <w:t>gues, Marcia Elizabeth Martins</w:t>
      </w:r>
      <w:r w:rsidRPr="003B2534">
        <w:rPr>
          <w:rFonts w:asciiTheme="minorHAnsi" w:hAnsiTheme="minorHAnsi" w:cstheme="minorHAnsi"/>
          <w:sz w:val="22"/>
          <w:szCs w:val="22"/>
          <w:lang w:eastAsia="pt-BR"/>
        </w:rPr>
        <w:t xml:space="preserve">, Orildes Tres e Silvia Monteiro Barakat e dos Conselheiros </w:t>
      </w:r>
      <w:r w:rsidRPr="003B2534">
        <w:rPr>
          <w:rFonts w:asciiTheme="minorHAnsi" w:hAnsiTheme="minorHAnsi" w:cstheme="minorHAnsi"/>
          <w:sz w:val="22"/>
          <w:szCs w:val="22"/>
        </w:rPr>
        <w:t>Carlos Eduardo Iponema Costa, Carlos Eduardo Mesquita Pedone, Emilio Merino Dominguez, Fabio Muller, Fausto Henrique Steffen, Rafael Ártico, Rinaldo Ferreira Barbosa, Rodrigo Rintzel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B2534">
        <w:rPr>
          <w:rFonts w:asciiTheme="minorHAnsi" w:hAnsiTheme="minorHAnsi" w:cstheme="minorHAnsi"/>
          <w:sz w:val="22"/>
          <w:szCs w:val="22"/>
        </w:rPr>
        <w:t xml:space="preserve"> Rodrigo Spinelli e 01 (um</w:t>
      </w:r>
      <w:r>
        <w:rPr>
          <w:rFonts w:asciiTheme="minorHAnsi" w:hAnsiTheme="minorHAnsi" w:cstheme="minorHAnsi"/>
          <w:sz w:val="22"/>
          <w:szCs w:val="22"/>
        </w:rPr>
        <w:t xml:space="preserve">a) abstenção por impedimento, da Conselheira </w:t>
      </w:r>
      <w:r w:rsidRPr="003B2534">
        <w:rPr>
          <w:rFonts w:asciiTheme="minorHAnsi" w:hAnsiTheme="minorHAnsi" w:cstheme="minorHAnsi"/>
          <w:sz w:val="22"/>
          <w:szCs w:val="22"/>
          <w:lang w:eastAsia="pt-BR"/>
        </w:rPr>
        <w:t>Nubia Margot Menezes Jardim</w:t>
      </w:r>
      <w:r w:rsidRPr="003B2534">
        <w:rPr>
          <w:rFonts w:asciiTheme="minorHAnsi" w:hAnsiTheme="minorHAnsi" w:cstheme="minorHAnsi"/>
          <w:sz w:val="22"/>
          <w:szCs w:val="22"/>
        </w:rPr>
        <w:t>.</w:t>
      </w:r>
    </w:p>
    <w:p w:rsidR="005F03E6" w:rsidRPr="00AD5FD6" w:rsidRDefault="005F03E6" w:rsidP="00546818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AD5FD6">
        <w:rPr>
          <w:rFonts w:ascii="Calibri" w:hAnsi="Calibri" w:cs="Calibri"/>
          <w:sz w:val="22"/>
          <w:szCs w:val="22"/>
        </w:rPr>
        <w:t>Porto Alegre – RS, 28 de maio de 2021.</w:t>
      </w: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5F03E6" w:rsidRPr="00AD5FD6" w:rsidRDefault="005F03E6" w:rsidP="005F03E6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AD5FD6">
        <w:rPr>
          <w:rFonts w:ascii="Calibri" w:hAnsi="Calibri" w:cs="Calibri"/>
          <w:bCs/>
          <w:sz w:val="22"/>
          <w:szCs w:val="22"/>
        </w:rPr>
        <w:t>EVELISE JAIME DE MENEZES</w:t>
      </w:r>
    </w:p>
    <w:p w:rsidR="005F03E6" w:rsidRPr="00AD5FD6" w:rsidRDefault="005F03E6" w:rsidP="005F03E6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AD5FD6">
        <w:rPr>
          <w:rFonts w:ascii="Calibri" w:hAnsi="Calibri" w:cs="Calibri"/>
          <w:bCs/>
          <w:iCs/>
          <w:sz w:val="22"/>
          <w:szCs w:val="22"/>
        </w:rPr>
        <w:t>Presidente Interina do CAU/RS</w:t>
      </w:r>
    </w:p>
    <w:p w:rsidR="005F03E6" w:rsidRPr="00AD5FD6" w:rsidRDefault="005F03E6" w:rsidP="005F03E6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5F03E6" w:rsidRPr="00AD5FD6" w:rsidSect="005F03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9" w:right="851" w:bottom="851" w:left="1701" w:header="1361" w:footer="227" w:gutter="0"/>
          <w:cols w:space="708"/>
          <w:titlePg/>
          <w:docGrid w:linePitch="326"/>
        </w:sectPr>
      </w:pPr>
    </w:p>
    <w:p w:rsidR="0035742C" w:rsidRPr="001541B5" w:rsidRDefault="0035742C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35742C" w:rsidRPr="00110FD0" w:rsidRDefault="0035742C" w:rsidP="0035742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119ª</w:t>
      </w:r>
      <w:r w:rsidRPr="00110FD0">
        <w:rPr>
          <w:rFonts w:ascii="Calibri" w:hAnsi="Calibri" w:cs="Calibri"/>
          <w:b/>
          <w:bCs/>
          <w:lang w:eastAsia="pt-BR"/>
        </w:rPr>
        <w:t xml:space="preserve"> REUNIÃO PLENÁRIA ORDINÁRIA DO CAU/RS</w:t>
      </w:r>
    </w:p>
    <w:p w:rsidR="0035742C" w:rsidRPr="00110FD0" w:rsidRDefault="0035742C" w:rsidP="0035742C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35742C" w:rsidRPr="00110FD0" w:rsidTr="0033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5742C" w:rsidRPr="004E14E9" w:rsidRDefault="0035742C" w:rsidP="0054681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</w:t>
            </w:r>
            <w:r>
              <w:rPr>
                <w:rFonts w:ascii="Calibri" w:eastAsia="Times New Roman" w:hAnsi="Calibri" w:cs="Calibri"/>
                <w:lang w:eastAsia="pt-BR"/>
              </w:rPr>
              <w:t>O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-RS nº </w:t>
            </w:r>
            <w:r w:rsidR="00361579">
              <w:rPr>
                <w:rFonts w:ascii="Calibri" w:eastAsia="Times New Roman" w:hAnsi="Calibri" w:cs="Calibri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lang w:eastAsia="pt-BR"/>
              </w:rPr>
              <w:t>30</w:t>
            </w:r>
            <w:r w:rsidR="00546818">
              <w:rPr>
                <w:rFonts w:ascii="Calibri" w:eastAsia="Times New Roman" w:hAnsi="Calibri" w:cs="Calibri"/>
                <w:lang w:eastAsia="pt-BR"/>
              </w:rPr>
              <w:t>9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  <w:r w:rsidR="001C18C4">
              <w:rPr>
                <w:rFonts w:ascii="Calibri" w:eastAsia="Times New Roman" w:hAnsi="Calibri" w:cs="Calibri"/>
                <w:lang w:eastAsia="pt-BR"/>
              </w:rPr>
              <w:t>1262070</w:t>
            </w:r>
            <w:r w:rsidR="005F03E6" w:rsidRPr="005F03E6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35742C" w:rsidRPr="00ED63BF" w:rsidTr="0033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35742C" w:rsidRPr="00110FD0" w:rsidRDefault="0035742C" w:rsidP="00332ACA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35742C" w:rsidRPr="00110FD0" w:rsidRDefault="0035742C" w:rsidP="00332ACA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Andréa Larruscahim Hamilton Ilha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Cecília Giovenardi Esteve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Débora Francele Rodrigues da Silva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Denise dos Santos Simões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Lidia Glacir Gomes Rodrigues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 xml:space="preserve">Abstenção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 xml:space="preserve"> Impedimento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546818" w:rsidRPr="00ED63BF" w:rsidTr="00CF1C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46818" w:rsidRPr="007E3BDA" w:rsidRDefault="00546818" w:rsidP="00546818">
            <w:pPr>
              <w:pStyle w:val="PargrafodaLista"/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b w:val="0"/>
                <w:sz w:val="20"/>
                <w:szCs w:val="20"/>
              </w:rPr>
              <w:t>Silvia Monteiro Barakat</w:t>
            </w:r>
          </w:p>
        </w:tc>
        <w:tc>
          <w:tcPr>
            <w:tcW w:w="3809" w:type="dxa"/>
          </w:tcPr>
          <w:p w:rsidR="00546818" w:rsidRPr="007E3BDA" w:rsidRDefault="00546818" w:rsidP="0054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3BDA">
              <w:rPr>
                <w:rFonts w:asciiTheme="minorHAnsi" w:hAnsiTheme="minorHAnsi" w:cstheme="minorHAnsi"/>
                <w:sz w:val="20"/>
                <w:szCs w:val="20"/>
              </w:rPr>
              <w:t>Favorável</w:t>
            </w:r>
          </w:p>
        </w:tc>
      </w:tr>
      <w:tr w:rsidR="0035742C" w:rsidRPr="00ED63BF" w:rsidTr="0033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35742C" w:rsidRPr="00132E43" w:rsidRDefault="0035742C" w:rsidP="00332AC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35742C" w:rsidRPr="00ED63BF" w:rsidTr="00332ACA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5742C" w:rsidRPr="00ED63BF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5742C" w:rsidRPr="00ED63BF" w:rsidRDefault="005F03E6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120</w:t>
            </w:r>
          </w:p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5742C" w:rsidRPr="00ED63BF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5F03E6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28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</w:t>
            </w:r>
            <w:r w:rsidR="005F03E6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05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35742C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130</w:t>
            </w:r>
            <w:r w:rsidR="00546818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361579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Isenção Doença Grave</w:t>
            </w:r>
          </w:p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5742C" w:rsidRPr="00ED63BF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5742C" w:rsidRDefault="0054681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AC182D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AC182D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(20) Abstenções por impedimento (01) total (21)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546818" w:rsidRPr="00546818" w:rsidRDefault="0054681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</w:p>
        </w:tc>
      </w:tr>
      <w:tr w:rsidR="0035742C" w:rsidRPr="00ED63BF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35742C" w:rsidRPr="00ED63BF" w:rsidRDefault="0035742C" w:rsidP="00332AC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35742C" w:rsidRPr="00ED63BF" w:rsidRDefault="0035742C" w:rsidP="00332AC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35742C" w:rsidRPr="00ED63BF" w:rsidTr="00332ACA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35742C" w:rsidRPr="00ED63BF" w:rsidRDefault="0035742C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46818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35742C" w:rsidRDefault="0035742C" w:rsidP="0035742C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83635F" w:rsidRDefault="0083635F" w:rsidP="0035742C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</w:p>
    <w:sectPr w:rsidR="0083635F" w:rsidSect="000F60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701" w:right="851" w:bottom="851" w:left="1701" w:header="132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D1" w:rsidRDefault="000C37D1" w:rsidP="004C3048">
      <w:r>
        <w:separator/>
      </w:r>
    </w:p>
  </w:endnote>
  <w:endnote w:type="continuationSeparator" w:id="0">
    <w:p w:rsidR="000C37D1" w:rsidRDefault="000C37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Pr="005950FA" w:rsidRDefault="005F03E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F03E6" w:rsidRPr="005F2A2D" w:rsidRDefault="005F03E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Pr="0093154B" w:rsidRDefault="005F03E6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F03E6" w:rsidRDefault="005F03E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F03E6" w:rsidRPr="003F1946" w:rsidRDefault="005F03E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5735394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18C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F03E6" w:rsidRPr="003F1946" w:rsidRDefault="005F03E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Pr="0093154B" w:rsidRDefault="005F03E6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F03E6" w:rsidRDefault="005F03E6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F03E6" w:rsidRPr="003F1946" w:rsidRDefault="005F03E6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093419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18C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F03E6" w:rsidRPr="003F1946" w:rsidRDefault="005F03E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973310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18C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2970255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74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D1" w:rsidRDefault="000C37D1" w:rsidP="004C3048">
      <w:r>
        <w:separator/>
      </w:r>
    </w:p>
  </w:footnote>
  <w:footnote w:type="continuationSeparator" w:id="0">
    <w:p w:rsidR="000C37D1" w:rsidRDefault="000C37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Pr="009E4E5A" w:rsidRDefault="005F03E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84864" behindDoc="1" locked="0" layoutInCell="1" allowOverlap="1" wp14:anchorId="5C1DF778" wp14:editId="04ABB0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3" name="Imagem 7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83840" behindDoc="1" locked="0" layoutInCell="1" allowOverlap="1" wp14:anchorId="49A1EC84" wp14:editId="63FB5A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4" name="Imagem 7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Pr="009E4E5A" w:rsidRDefault="005F03E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6912" behindDoc="1" locked="0" layoutInCell="1" allowOverlap="1" wp14:anchorId="3CBD2CC1" wp14:editId="406ACB9E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5" name="Imagem 7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6" w:rsidRDefault="005F03E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5888" behindDoc="1" locked="0" layoutInCell="1" allowOverlap="1" wp14:anchorId="5C124EA1" wp14:editId="455F5559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76" name="Imagem 7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FE661E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 w:rsidP="00FE661E">
    <w:pPr>
      <w:pStyle w:val="Cabealho"/>
      <w:tabs>
        <w:tab w:val="clear" w:pos="4320"/>
        <w:tab w:val="clear" w:pos="8640"/>
        <w:tab w:val="right" w:pos="9348"/>
      </w:tabs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61E">
      <w:tab/>
    </w:r>
    <w:r w:rsidR="00FE661E" w:rsidRPr="002D614C">
      <w:rPr>
        <w:rFonts w:ascii="Arial" w:hAnsi="Arial"/>
        <w:color w:val="296D7A"/>
        <w:sz w:val="18"/>
      </w:rPr>
      <w:t xml:space="preserve">DPO-RS </w:t>
    </w:r>
    <w:r w:rsidR="00FE661E" w:rsidRPr="00926A5A">
      <w:rPr>
        <w:rFonts w:ascii="Arial" w:hAnsi="Arial"/>
        <w:color w:val="296D7A"/>
        <w:sz w:val="18"/>
      </w:rPr>
      <w:t xml:space="preserve">Nº </w:t>
    </w:r>
    <w:r w:rsidR="0035742C">
      <w:rPr>
        <w:rFonts w:ascii="Arial" w:hAnsi="Arial"/>
        <w:color w:val="296D7A"/>
        <w:sz w:val="18"/>
      </w:rPr>
      <w:t>1300</w:t>
    </w:r>
    <w:r w:rsidR="00FE661E" w:rsidRPr="00926A5A">
      <w:rPr>
        <w:rFonts w:ascii="Arial" w:hAnsi="Arial"/>
        <w:color w:val="296D7A"/>
        <w:sz w:val="18"/>
      </w:rPr>
      <w:t>/</w:t>
    </w:r>
    <w:r w:rsidR="00FE661E">
      <w:rPr>
        <w:rFonts w:ascii="Arial" w:hAnsi="Arial"/>
        <w:color w:val="296D7A"/>
        <w:sz w:val="18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6954"/>
    <w:multiLevelType w:val="hybridMultilevel"/>
    <w:tmpl w:val="09DEF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F20829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FE3BA5"/>
    <w:multiLevelType w:val="hybridMultilevel"/>
    <w:tmpl w:val="BA76B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C19"/>
    <w:multiLevelType w:val="hybridMultilevel"/>
    <w:tmpl w:val="DF462366"/>
    <w:lvl w:ilvl="0" w:tplc="0818DC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0AB0"/>
    <w:multiLevelType w:val="multilevel"/>
    <w:tmpl w:val="2B1A0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C133A4"/>
    <w:multiLevelType w:val="hybridMultilevel"/>
    <w:tmpl w:val="BC245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9"/>
  </w:num>
  <w:num w:numId="5">
    <w:abstractNumId w:val="13"/>
  </w:num>
  <w:num w:numId="6">
    <w:abstractNumId w:val="23"/>
  </w:num>
  <w:num w:numId="7">
    <w:abstractNumId w:val="22"/>
  </w:num>
  <w:num w:numId="8">
    <w:abstractNumId w:val="15"/>
  </w:num>
  <w:num w:numId="9">
    <w:abstractNumId w:val="10"/>
  </w:num>
  <w:num w:numId="10">
    <w:abstractNumId w:val="14"/>
  </w:num>
  <w:num w:numId="11">
    <w:abstractNumId w:val="17"/>
  </w:num>
  <w:num w:numId="12">
    <w:abstractNumId w:val="21"/>
  </w:num>
  <w:num w:numId="13">
    <w:abstractNumId w:val="6"/>
  </w:num>
  <w:num w:numId="14">
    <w:abstractNumId w:val="16"/>
  </w:num>
  <w:num w:numId="15">
    <w:abstractNumId w:val="1"/>
  </w:num>
  <w:num w:numId="16">
    <w:abstractNumId w:val="7"/>
  </w:num>
  <w:num w:numId="17">
    <w:abstractNumId w:val="2"/>
  </w:num>
  <w:num w:numId="18">
    <w:abstractNumId w:val="3"/>
  </w:num>
  <w:num w:numId="19">
    <w:abstractNumId w:val="5"/>
  </w:num>
  <w:num w:numId="20">
    <w:abstractNumId w:val="11"/>
  </w:num>
  <w:num w:numId="21">
    <w:abstractNumId w:val="18"/>
  </w:num>
  <w:num w:numId="22">
    <w:abstractNumId w:val="8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5F8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C37D1"/>
    <w:rsid w:val="000D3E3E"/>
    <w:rsid w:val="000D3FB7"/>
    <w:rsid w:val="000D4C5E"/>
    <w:rsid w:val="000D5BC9"/>
    <w:rsid w:val="000D7C26"/>
    <w:rsid w:val="000E0909"/>
    <w:rsid w:val="000E2009"/>
    <w:rsid w:val="000E3CCA"/>
    <w:rsid w:val="000E598B"/>
    <w:rsid w:val="000F2FD5"/>
    <w:rsid w:val="000F339D"/>
    <w:rsid w:val="000F6029"/>
    <w:rsid w:val="0010374D"/>
    <w:rsid w:val="0011303B"/>
    <w:rsid w:val="001176D7"/>
    <w:rsid w:val="00117EDD"/>
    <w:rsid w:val="00124837"/>
    <w:rsid w:val="00124A49"/>
    <w:rsid w:val="0012740C"/>
    <w:rsid w:val="001307D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C18C4"/>
    <w:rsid w:val="001C402C"/>
    <w:rsid w:val="001E56D2"/>
    <w:rsid w:val="001F61E5"/>
    <w:rsid w:val="001F6628"/>
    <w:rsid w:val="00205F8C"/>
    <w:rsid w:val="00216C06"/>
    <w:rsid w:val="00220A16"/>
    <w:rsid w:val="00221666"/>
    <w:rsid w:val="002368B4"/>
    <w:rsid w:val="00245146"/>
    <w:rsid w:val="00247E85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5742C"/>
    <w:rsid w:val="00360A08"/>
    <w:rsid w:val="00361579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1894"/>
    <w:rsid w:val="003E37EA"/>
    <w:rsid w:val="003F1946"/>
    <w:rsid w:val="003F5088"/>
    <w:rsid w:val="003F533C"/>
    <w:rsid w:val="00410566"/>
    <w:rsid w:val="004123FC"/>
    <w:rsid w:val="00426A82"/>
    <w:rsid w:val="00433DE0"/>
    <w:rsid w:val="004355BD"/>
    <w:rsid w:val="00447C6C"/>
    <w:rsid w:val="00453128"/>
    <w:rsid w:val="004613E5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522"/>
    <w:rsid w:val="00500C6E"/>
    <w:rsid w:val="00531F08"/>
    <w:rsid w:val="0053240A"/>
    <w:rsid w:val="005461A2"/>
    <w:rsid w:val="00546818"/>
    <w:rsid w:val="00560C0D"/>
    <w:rsid w:val="005615DC"/>
    <w:rsid w:val="00564054"/>
    <w:rsid w:val="00565889"/>
    <w:rsid w:val="0057774E"/>
    <w:rsid w:val="0057783B"/>
    <w:rsid w:val="005B4B10"/>
    <w:rsid w:val="005D17F7"/>
    <w:rsid w:val="005D2FBE"/>
    <w:rsid w:val="005D3D88"/>
    <w:rsid w:val="005E2D9F"/>
    <w:rsid w:val="005E54BA"/>
    <w:rsid w:val="005E7F37"/>
    <w:rsid w:val="005F03E6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70118"/>
    <w:rsid w:val="00683976"/>
    <w:rsid w:val="00685B38"/>
    <w:rsid w:val="00690C35"/>
    <w:rsid w:val="0069229F"/>
    <w:rsid w:val="006B670F"/>
    <w:rsid w:val="006C14F3"/>
    <w:rsid w:val="006C75E7"/>
    <w:rsid w:val="006D2981"/>
    <w:rsid w:val="006E56F9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5117"/>
    <w:rsid w:val="00786A03"/>
    <w:rsid w:val="0078775B"/>
    <w:rsid w:val="007B7B0D"/>
    <w:rsid w:val="007B7BB9"/>
    <w:rsid w:val="007C0FB9"/>
    <w:rsid w:val="007C50BE"/>
    <w:rsid w:val="007E0A49"/>
    <w:rsid w:val="007F1526"/>
    <w:rsid w:val="00805FC1"/>
    <w:rsid w:val="008100FE"/>
    <w:rsid w:val="0081283D"/>
    <w:rsid w:val="00813FD9"/>
    <w:rsid w:val="00820E28"/>
    <w:rsid w:val="00827FEC"/>
    <w:rsid w:val="00835E1C"/>
    <w:rsid w:val="0083635F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60C8"/>
    <w:rsid w:val="00890C7F"/>
    <w:rsid w:val="008A6E88"/>
    <w:rsid w:val="008D4752"/>
    <w:rsid w:val="008E10C8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64745"/>
    <w:rsid w:val="00A73309"/>
    <w:rsid w:val="00A73ABE"/>
    <w:rsid w:val="00A80C65"/>
    <w:rsid w:val="00A8288C"/>
    <w:rsid w:val="00A83107"/>
    <w:rsid w:val="00A97469"/>
    <w:rsid w:val="00AD7733"/>
    <w:rsid w:val="00AE2654"/>
    <w:rsid w:val="00AF354E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5374"/>
    <w:rsid w:val="00B37B9F"/>
    <w:rsid w:val="00B5097C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163E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1E13"/>
    <w:rsid w:val="00E8229E"/>
    <w:rsid w:val="00E87EAC"/>
    <w:rsid w:val="00E92CDB"/>
    <w:rsid w:val="00E9324D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661E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718E-BE29-4415-80CA-92B6AC94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1935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11</cp:revision>
  <cp:lastPrinted>2021-03-26T20:35:00Z</cp:lastPrinted>
  <dcterms:created xsi:type="dcterms:W3CDTF">2021-03-26T15:23:00Z</dcterms:created>
  <dcterms:modified xsi:type="dcterms:W3CDTF">2021-05-31T13:24:00Z</dcterms:modified>
</cp:coreProperties>
</file>