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87A" w:rsidRDefault="00B9787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32" w:type="dxa"/>
        <w:tblInd w:w="0" w:type="dxa"/>
        <w:tblBorders>
          <w:top w:val="single" w:sz="4" w:space="0" w:color="7F7F7F"/>
          <w:bottom w:val="single" w:sz="4" w:space="0" w:color="7F7F7F"/>
          <w:insideH w:val="single" w:sz="4" w:space="0" w:color="7F7F7F"/>
          <w:insideV w:val="single" w:sz="4" w:space="0" w:color="7F7F7F"/>
        </w:tblBorders>
        <w:tblLayout w:type="fixed"/>
        <w:tblLook w:val="0400" w:firstRow="0" w:lastRow="0" w:firstColumn="0" w:lastColumn="0" w:noHBand="0" w:noVBand="1"/>
      </w:tblPr>
      <w:tblGrid>
        <w:gridCol w:w="1560"/>
        <w:gridCol w:w="7772"/>
      </w:tblGrid>
      <w:tr w:rsidR="00B9787A">
        <w:trPr>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tcPr>
          <w:p w:rsidR="00B9787A" w:rsidRDefault="009776CC">
            <w:pPr>
              <w:rPr>
                <w:rFonts w:ascii="Calibri" w:eastAsia="Calibri" w:hAnsi="Calibri" w:cs="Calibri"/>
                <w:sz w:val="22"/>
                <w:szCs w:val="22"/>
              </w:rPr>
            </w:pPr>
            <w:r>
              <w:rPr>
                <w:rFonts w:ascii="Calibri" w:eastAsia="Calibri" w:hAnsi="Calibri" w:cs="Calibri"/>
                <w:sz w:val="22"/>
                <w:szCs w:val="22"/>
              </w:rPr>
              <w:t>PROCESSO</w:t>
            </w:r>
          </w:p>
        </w:tc>
        <w:tc>
          <w:tcPr>
            <w:tcW w:w="7772" w:type="dxa"/>
            <w:tcBorders>
              <w:top w:val="single" w:sz="4" w:space="0" w:color="7F7F7F"/>
              <w:left w:val="single" w:sz="4" w:space="0" w:color="7F7F7F"/>
              <w:bottom w:val="single" w:sz="4" w:space="0" w:color="7F7F7F"/>
              <w:right w:val="nil"/>
            </w:tcBorders>
            <w:vAlign w:val="center"/>
          </w:tcPr>
          <w:p w:rsidR="00B9787A" w:rsidRDefault="009776CC">
            <w:pPr>
              <w:widowControl w:val="0"/>
              <w:rPr>
                <w:rFonts w:ascii="Calibri" w:eastAsia="Calibri" w:hAnsi="Calibri" w:cs="Calibri"/>
                <w:sz w:val="22"/>
                <w:szCs w:val="22"/>
              </w:rPr>
            </w:pPr>
            <w:r>
              <w:rPr>
                <w:rFonts w:ascii="Calibri" w:eastAsia="Calibri" w:hAnsi="Calibri" w:cs="Calibri"/>
                <w:sz w:val="22"/>
                <w:szCs w:val="22"/>
              </w:rPr>
              <w:t>Protocolo SICCAU nº 1216471/2020</w:t>
            </w:r>
          </w:p>
        </w:tc>
      </w:tr>
      <w:tr w:rsidR="00B9787A">
        <w:trPr>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tcPr>
          <w:p w:rsidR="00B9787A" w:rsidRDefault="009776CC">
            <w:pPr>
              <w:rPr>
                <w:rFonts w:ascii="Calibri" w:eastAsia="Calibri" w:hAnsi="Calibri" w:cs="Calibri"/>
                <w:sz w:val="22"/>
                <w:szCs w:val="22"/>
              </w:rPr>
            </w:pPr>
            <w:r>
              <w:rPr>
                <w:rFonts w:ascii="Calibri" w:eastAsia="Calibri" w:hAnsi="Calibri" w:cs="Calibri"/>
                <w:sz w:val="22"/>
                <w:szCs w:val="22"/>
              </w:rPr>
              <w:t>INTERESSADO</w:t>
            </w:r>
          </w:p>
        </w:tc>
        <w:tc>
          <w:tcPr>
            <w:tcW w:w="7772" w:type="dxa"/>
            <w:tcBorders>
              <w:top w:val="single" w:sz="4" w:space="0" w:color="7F7F7F"/>
              <w:left w:val="single" w:sz="4" w:space="0" w:color="7F7F7F"/>
              <w:bottom w:val="single" w:sz="4" w:space="0" w:color="7F7F7F"/>
              <w:right w:val="nil"/>
            </w:tcBorders>
            <w:vAlign w:val="center"/>
          </w:tcPr>
          <w:p w:rsidR="00B9787A" w:rsidRDefault="009776CC">
            <w:pPr>
              <w:widowControl w:val="0"/>
              <w:rPr>
                <w:rFonts w:ascii="Calibri" w:eastAsia="Calibri" w:hAnsi="Calibri" w:cs="Calibri"/>
                <w:sz w:val="22"/>
                <w:szCs w:val="22"/>
              </w:rPr>
            </w:pPr>
            <w:r>
              <w:rPr>
                <w:rFonts w:ascii="Calibri" w:eastAsia="Calibri" w:hAnsi="Calibri" w:cs="Calibri"/>
                <w:sz w:val="22"/>
                <w:szCs w:val="22"/>
              </w:rPr>
              <w:t>CPC-CAU/RS</w:t>
            </w:r>
          </w:p>
        </w:tc>
      </w:tr>
      <w:tr w:rsidR="00B9787A">
        <w:trPr>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tcPr>
          <w:p w:rsidR="00B9787A" w:rsidRDefault="009776CC">
            <w:pPr>
              <w:rPr>
                <w:rFonts w:ascii="Calibri" w:eastAsia="Calibri" w:hAnsi="Calibri" w:cs="Calibri"/>
                <w:sz w:val="22"/>
                <w:szCs w:val="22"/>
              </w:rPr>
            </w:pPr>
            <w:r>
              <w:rPr>
                <w:rFonts w:ascii="Calibri" w:eastAsia="Calibri" w:hAnsi="Calibri" w:cs="Calibri"/>
                <w:sz w:val="22"/>
                <w:szCs w:val="22"/>
              </w:rPr>
              <w:t>ASSUNTO</w:t>
            </w:r>
          </w:p>
        </w:tc>
        <w:tc>
          <w:tcPr>
            <w:tcW w:w="7772" w:type="dxa"/>
            <w:tcBorders>
              <w:top w:val="single" w:sz="4" w:space="0" w:color="7F7F7F"/>
              <w:left w:val="single" w:sz="4" w:space="0" w:color="7F7F7F"/>
              <w:bottom w:val="single" w:sz="4" w:space="0" w:color="7F7F7F"/>
              <w:right w:val="nil"/>
            </w:tcBorders>
            <w:vAlign w:val="center"/>
          </w:tcPr>
          <w:p w:rsidR="00B9787A" w:rsidRDefault="009776CC">
            <w:pPr>
              <w:widowControl w:val="0"/>
              <w:jc w:val="both"/>
              <w:rPr>
                <w:rFonts w:ascii="Calibri" w:eastAsia="Calibri" w:hAnsi="Calibri" w:cs="Calibri"/>
                <w:sz w:val="22"/>
                <w:szCs w:val="22"/>
              </w:rPr>
            </w:pPr>
            <w:r>
              <w:rPr>
                <w:rFonts w:ascii="Calibri" w:eastAsia="Calibri" w:hAnsi="Calibri" w:cs="Calibri"/>
                <w:sz w:val="22"/>
                <w:szCs w:val="22"/>
              </w:rPr>
              <w:t xml:space="preserve">Atribuição Profissional Arquiteto e Urbanista - Intervenção em espaços públicos e bens edificados de Patrimônio Histórico e Cultural </w:t>
            </w:r>
          </w:p>
        </w:tc>
      </w:tr>
    </w:tbl>
    <w:p w:rsidR="00B9787A" w:rsidRDefault="009776CC">
      <w:pPr>
        <w:pBdr>
          <w:top w:val="single" w:sz="8" w:space="3" w:color="7F7F7F"/>
          <w:bottom w:val="single" w:sz="8" w:space="0" w:color="7F7F7F"/>
        </w:pBdr>
        <w:shd w:val="clear" w:color="auto" w:fill="F2F2F2"/>
        <w:spacing w:before="120" w:after="120"/>
        <w:jc w:val="center"/>
        <w:rPr>
          <w:rFonts w:ascii="Calibri" w:eastAsia="Calibri" w:hAnsi="Calibri" w:cs="Calibri"/>
          <w:sz w:val="22"/>
          <w:szCs w:val="22"/>
        </w:rPr>
      </w:pPr>
      <w:r>
        <w:rPr>
          <w:rFonts w:ascii="Calibri" w:eastAsia="Calibri" w:hAnsi="Calibri" w:cs="Calibri"/>
          <w:sz w:val="22"/>
          <w:szCs w:val="22"/>
        </w:rPr>
        <w:t>DELIBERAÇÃO PLENÁRIA DPO/RS Nº 1258/2021</w:t>
      </w:r>
    </w:p>
    <w:p w:rsidR="00B9787A" w:rsidRDefault="00B9787A">
      <w:pPr>
        <w:tabs>
          <w:tab w:val="left" w:pos="1418"/>
        </w:tabs>
        <w:ind w:left="4820"/>
        <w:jc w:val="both"/>
        <w:rPr>
          <w:rFonts w:ascii="Calibri" w:eastAsia="Calibri" w:hAnsi="Calibri" w:cs="Calibri"/>
          <w:sz w:val="22"/>
          <w:szCs w:val="22"/>
        </w:rPr>
      </w:pPr>
    </w:p>
    <w:p w:rsidR="00B9787A" w:rsidRDefault="009776CC" w:rsidP="009776CC">
      <w:pPr>
        <w:tabs>
          <w:tab w:val="left" w:pos="1418"/>
        </w:tabs>
        <w:ind w:left="4962"/>
        <w:jc w:val="both"/>
        <w:rPr>
          <w:rFonts w:ascii="Calibri" w:eastAsia="Calibri" w:hAnsi="Calibri" w:cs="Calibri"/>
          <w:sz w:val="22"/>
          <w:szCs w:val="22"/>
        </w:rPr>
      </w:pPr>
      <w:r>
        <w:rPr>
          <w:rFonts w:ascii="Calibri" w:eastAsia="Calibri" w:hAnsi="Calibri" w:cs="Calibri"/>
          <w:sz w:val="22"/>
          <w:szCs w:val="22"/>
        </w:rPr>
        <w:t>Homologa entendimento do CAU/RS quanto a Atribuição Profissional do Arquiteto e Urbanista quanto a Intervenção em espaços e bens edificados, integrantes do Patrimônio Histórico e Cultural.</w:t>
      </w:r>
    </w:p>
    <w:p w:rsidR="00B9787A" w:rsidRDefault="00B9787A">
      <w:pPr>
        <w:ind w:left="5103"/>
        <w:jc w:val="both"/>
        <w:rPr>
          <w:rFonts w:ascii="Calibri" w:eastAsia="Calibri" w:hAnsi="Calibri" w:cs="Calibri"/>
          <w:sz w:val="22"/>
          <w:szCs w:val="22"/>
        </w:rPr>
      </w:pPr>
    </w:p>
    <w:p w:rsidR="00B9787A" w:rsidRDefault="009776CC">
      <w:pPr>
        <w:tabs>
          <w:tab w:val="left" w:pos="1418"/>
        </w:tabs>
        <w:ind w:left="-284"/>
        <w:jc w:val="both"/>
        <w:rPr>
          <w:rFonts w:ascii="Calibri" w:eastAsia="Calibri" w:hAnsi="Calibri" w:cs="Calibri"/>
        </w:rPr>
      </w:pPr>
      <w:r>
        <w:rPr>
          <w:rFonts w:ascii="Calibri" w:eastAsia="Calibri" w:hAnsi="Calibri" w:cs="Calibri"/>
        </w:rPr>
        <w:t>O PLENÁRIO DO CONSELHO DE ARQUITETURA E URBANISMO DO RIO GRANDE DO SUL – CAU/RS no exercício das competências e prerrogativas de que trata o artigo 29, inciso XVIII do Regimento Interno do CAU/RS reunido ordinariamente através de sistema de deliberação rem</w:t>
      </w:r>
      <w:r>
        <w:rPr>
          <w:rFonts w:ascii="Calibri" w:eastAsia="Calibri" w:hAnsi="Calibri" w:cs="Calibri"/>
        </w:rPr>
        <w:t>ota, conforme determina a Deliberação Plenária DPO/RS Nº 1155/2020, no dia 29 de janeiro de 2021, após análise do assunto em epígrafe, e</w:t>
      </w:r>
    </w:p>
    <w:p w:rsidR="00B9787A" w:rsidRDefault="00B9787A">
      <w:pPr>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rPr>
        <w:t>Considerando a Lei 12.378/2010, que regulamenta o exercício de Arquitetura e Urbanismo, cria o CAU/BR, o CAU/DF e os C</w:t>
      </w:r>
      <w:r>
        <w:rPr>
          <w:rFonts w:ascii="Calibri" w:eastAsia="Calibri" w:hAnsi="Calibri" w:cs="Calibri"/>
        </w:rPr>
        <w:t xml:space="preserve">AU/UF, definindo que esses </w:t>
      </w:r>
      <w:r>
        <w:rPr>
          <w:rFonts w:ascii="Calibri" w:eastAsia="Calibri" w:hAnsi="Calibri" w:cs="Calibri"/>
          <w:i/>
        </w:rPr>
        <w:t>“... têm como função orientar, disciplinar e fiscalizar o exercício da profissão da arquitetura e urbanismo, zelar pela fiel observância dos princípios de ética e disciplina da classe em todo o território nacional, bem como pugna</w:t>
      </w:r>
      <w:r>
        <w:rPr>
          <w:rFonts w:ascii="Calibri" w:eastAsia="Calibri" w:hAnsi="Calibri" w:cs="Calibri"/>
          <w:i/>
        </w:rPr>
        <w:t>r pelo aperfeiçoamento do exercício da arquitetura e urbanismo”</w:t>
      </w:r>
      <w:r>
        <w:rPr>
          <w:rFonts w:ascii="Calibri" w:eastAsia="Calibri" w:hAnsi="Calibri" w:cs="Calibri"/>
        </w:rPr>
        <w:t>, conforme o disposto em seu artigo 24, § 1º;</w:t>
      </w:r>
    </w:p>
    <w:p w:rsidR="00B9787A" w:rsidRDefault="00B9787A">
      <w:pPr>
        <w:tabs>
          <w:tab w:val="left" w:pos="1418"/>
        </w:tabs>
        <w:ind w:left="-284"/>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rPr>
        <w:t>Considerando que, em seu art. 2º, a lei estabelece as atividades e atribuições dos profissionais de arquitetura e urbanismo;</w:t>
      </w:r>
    </w:p>
    <w:p w:rsidR="00B9787A" w:rsidRDefault="00B9787A">
      <w:pPr>
        <w:tabs>
          <w:tab w:val="left" w:pos="1418"/>
        </w:tabs>
        <w:ind w:left="-284"/>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rPr>
        <w:t>Considerando que, em</w:t>
      </w:r>
      <w:r>
        <w:rPr>
          <w:rFonts w:ascii="Calibri" w:eastAsia="Calibri" w:hAnsi="Calibri" w:cs="Calibri"/>
        </w:rPr>
        <w:t xml:space="preserve"> seu art. 3º, a lei dispõe que </w:t>
      </w:r>
      <w:r>
        <w:rPr>
          <w:rFonts w:ascii="Calibri" w:eastAsia="Calibri" w:hAnsi="Calibri" w:cs="Calibri"/>
          <w:i/>
        </w:rPr>
        <w:t>“os campos da atuação profissional para o exercício da arquitetura e urbanismo são definidos a partir das diretrizes curriculares nacionais que dispõe</w:t>
      </w:r>
      <w:r>
        <w:rPr>
          <w:rFonts w:ascii="Calibri" w:eastAsia="Calibri" w:hAnsi="Calibri" w:cs="Calibri"/>
          <w:i/>
        </w:rPr>
        <w:t xml:space="preserve"> sobre a formação do profissional arquiteto e urbanista nas quais os núcle</w:t>
      </w:r>
      <w:r>
        <w:rPr>
          <w:rFonts w:ascii="Calibri" w:eastAsia="Calibri" w:hAnsi="Calibri" w:cs="Calibri"/>
          <w:i/>
        </w:rPr>
        <w:t>os de conhecimentos de fundamentação e de conhecimentos profissionais caracterizam a unidade de atuação profissional” e; em seu § 2º, que “serão consideradas privativas de profissional especializado as áreas de atuação nas quais a ausência de formação supe</w:t>
      </w:r>
      <w:r>
        <w:rPr>
          <w:rFonts w:ascii="Calibri" w:eastAsia="Calibri" w:hAnsi="Calibri" w:cs="Calibri"/>
          <w:i/>
        </w:rPr>
        <w:t>rior exponha o usuário do serviço a qualquer risco ou danos materiais à segurança, à saúde ou ao meio ambiente”</w:t>
      </w:r>
      <w:r>
        <w:rPr>
          <w:rFonts w:ascii="Calibri" w:eastAsia="Calibri" w:hAnsi="Calibri" w:cs="Calibri"/>
        </w:rPr>
        <w:t>;</w:t>
      </w:r>
    </w:p>
    <w:p w:rsidR="00B9787A" w:rsidRDefault="00B9787A">
      <w:pPr>
        <w:tabs>
          <w:tab w:val="left" w:pos="1418"/>
        </w:tabs>
        <w:ind w:left="-284"/>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rPr>
        <w:t>Considerando a Resolução CAU/BR nº 51, Inciso IV, que define como campo de atuação privativa dos profissi</w:t>
      </w:r>
      <w:r w:rsidR="00F20268">
        <w:rPr>
          <w:rFonts w:ascii="Calibri" w:eastAsia="Calibri" w:hAnsi="Calibri" w:cs="Calibri"/>
        </w:rPr>
        <w:t xml:space="preserve">onais arquitetos e urbanistas, </w:t>
      </w:r>
      <w:r>
        <w:rPr>
          <w:rFonts w:ascii="Calibri" w:eastAsia="Calibri" w:hAnsi="Calibri" w:cs="Calibri"/>
        </w:rPr>
        <w:t>às at</w:t>
      </w:r>
      <w:r>
        <w:rPr>
          <w:rFonts w:ascii="Calibri" w:eastAsia="Calibri" w:hAnsi="Calibri" w:cs="Calibri"/>
        </w:rPr>
        <w:t>ividades relativas ao Patrimônio Histórico, Cultural e Artístico;</w:t>
      </w:r>
    </w:p>
    <w:p w:rsidR="00B9787A" w:rsidRDefault="00B9787A">
      <w:pPr>
        <w:tabs>
          <w:tab w:val="left" w:pos="1418"/>
        </w:tabs>
        <w:ind w:left="-284"/>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rPr>
        <w:t>Considerando a Resolução CAU/BR nº 21, inciso IV que estabelece que as atribuições de que trata o artigo 2º aplicam-se, dentre outros, ao campo de atuação do Patrimônio Histórico Cultural e</w:t>
      </w:r>
      <w:r>
        <w:rPr>
          <w:rFonts w:ascii="Calibri" w:eastAsia="Calibri" w:hAnsi="Calibri" w:cs="Calibri"/>
        </w:rPr>
        <w:t xml:space="preserve"> Artístico, arquitetônico, urbanístico, paisagístico, monumentos, restauro, práticas de projeto e </w:t>
      </w:r>
      <w:r>
        <w:rPr>
          <w:rFonts w:ascii="Calibri" w:eastAsia="Calibri" w:hAnsi="Calibri" w:cs="Calibri"/>
        </w:rPr>
        <w:lastRenderedPageBreak/>
        <w:t>soluções tecnológicas para reutilização, reabilitação, reconstrução, preservação, conservação, restauro e valorização de edificações, conjuntos e cidades;</w:t>
      </w:r>
    </w:p>
    <w:p w:rsidR="00B9787A" w:rsidRDefault="00B9787A">
      <w:pPr>
        <w:tabs>
          <w:tab w:val="left" w:pos="1418"/>
        </w:tabs>
        <w:ind w:left="-284"/>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rPr>
        <w:t>Co</w:t>
      </w:r>
      <w:r>
        <w:rPr>
          <w:rFonts w:ascii="Calibri" w:eastAsia="Calibri" w:hAnsi="Calibri" w:cs="Calibri"/>
        </w:rPr>
        <w:t>nsiderando que quaisquer intervenções em edifícios, monumentos, espaços e lugares de importância ou valor histórico e cultural se tratam de ações de atribuição profissional do arquiteto e urbanista;</w:t>
      </w:r>
    </w:p>
    <w:p w:rsidR="00B9787A" w:rsidRDefault="009776CC">
      <w:pPr>
        <w:tabs>
          <w:tab w:val="left" w:pos="1418"/>
        </w:tabs>
        <w:ind w:left="-284"/>
        <w:jc w:val="both"/>
        <w:rPr>
          <w:rFonts w:ascii="Calibri" w:eastAsia="Calibri" w:hAnsi="Calibri" w:cs="Calibri"/>
        </w:rPr>
      </w:pPr>
      <w:r>
        <w:rPr>
          <w:rFonts w:ascii="Calibri" w:eastAsia="Calibri" w:hAnsi="Calibri" w:cs="Calibri"/>
        </w:rPr>
        <w:t xml:space="preserve"> </w:t>
      </w:r>
    </w:p>
    <w:p w:rsidR="00B9787A" w:rsidRDefault="009776CC">
      <w:pPr>
        <w:tabs>
          <w:tab w:val="left" w:pos="1418"/>
        </w:tabs>
        <w:ind w:left="-284"/>
        <w:jc w:val="both"/>
        <w:rPr>
          <w:rFonts w:ascii="Calibri" w:eastAsia="Calibri" w:hAnsi="Calibri" w:cs="Calibri"/>
        </w:rPr>
      </w:pPr>
      <w:r>
        <w:rPr>
          <w:rFonts w:ascii="Calibri" w:eastAsia="Calibri" w:hAnsi="Calibri" w:cs="Calibri"/>
        </w:rPr>
        <w:t>Considerando a Nota Técnica n. 002/2020 da CEP-CAU/RS-G</w:t>
      </w:r>
      <w:r>
        <w:rPr>
          <w:rFonts w:ascii="Calibri" w:eastAsia="Calibri" w:hAnsi="Calibri" w:cs="Calibri"/>
        </w:rPr>
        <w:t>ETEC-GEJUR, que apresenta extensa argumentação, respaldada por análise de normativas do CONFEA, CFT e CAU/BR, além das diretrizes curriculares para formação dos técnicos industriais e arquitetos e urbanistas, com o objetivo de fundamentar resposta ao segui</w:t>
      </w:r>
      <w:r>
        <w:rPr>
          <w:rFonts w:ascii="Calibri" w:eastAsia="Calibri" w:hAnsi="Calibri" w:cs="Calibri"/>
        </w:rPr>
        <w:t>nte problema: “Técnicos Industriais podem realizar serviços que envolvem restauração, reparos e adaptações em edificação pertencente ao patrimônio histórico e cultural sem a coordenação de profissional arquiteto e urbanista?”;</w:t>
      </w:r>
    </w:p>
    <w:p w:rsidR="00B9787A" w:rsidRDefault="00B9787A">
      <w:pPr>
        <w:tabs>
          <w:tab w:val="left" w:pos="1418"/>
        </w:tabs>
        <w:ind w:left="-284"/>
        <w:jc w:val="both"/>
        <w:rPr>
          <w:rFonts w:ascii="Calibri" w:eastAsia="Calibri" w:hAnsi="Calibri" w:cs="Calibri"/>
        </w:rPr>
      </w:pPr>
    </w:p>
    <w:p w:rsidR="00B9787A" w:rsidRDefault="009776CC">
      <w:pPr>
        <w:tabs>
          <w:tab w:val="left" w:pos="1418"/>
        </w:tabs>
        <w:ind w:left="-284"/>
        <w:jc w:val="both"/>
        <w:rPr>
          <w:rFonts w:ascii="Calibri" w:eastAsia="Calibri" w:hAnsi="Calibri" w:cs="Calibri"/>
        </w:rPr>
      </w:pPr>
      <w:r>
        <w:rPr>
          <w:rFonts w:ascii="Calibri" w:eastAsia="Calibri" w:hAnsi="Calibri" w:cs="Calibri"/>
          <w:b/>
        </w:rPr>
        <w:t>DELIBEROU por:</w:t>
      </w:r>
    </w:p>
    <w:p w:rsidR="00B9787A" w:rsidRDefault="00B9787A">
      <w:pPr>
        <w:jc w:val="both"/>
        <w:rPr>
          <w:rFonts w:ascii="Calibri" w:eastAsia="Calibri" w:hAnsi="Calibri" w:cs="Calibri"/>
          <w:b/>
        </w:rPr>
      </w:pPr>
    </w:p>
    <w:p w:rsidR="00B9787A" w:rsidRDefault="009776CC" w:rsidP="00F20268">
      <w:pPr>
        <w:numPr>
          <w:ilvl w:val="0"/>
          <w:numId w:val="2"/>
        </w:numPr>
        <w:pBdr>
          <w:top w:val="nil"/>
          <w:left w:val="nil"/>
          <w:bottom w:val="nil"/>
          <w:right w:val="nil"/>
          <w:between w:val="nil"/>
        </w:pBdr>
        <w:shd w:val="clear" w:color="auto" w:fill="FFFFFF"/>
        <w:jc w:val="both"/>
        <w:rPr>
          <w:rFonts w:ascii="Calibri" w:eastAsia="Calibri" w:hAnsi="Calibri" w:cs="Calibri"/>
        </w:rPr>
      </w:pPr>
      <w:bookmarkStart w:id="0" w:name="_4f943qvmjhbg" w:colFirst="0" w:colLast="0"/>
      <w:bookmarkEnd w:id="0"/>
      <w:r>
        <w:rPr>
          <w:rFonts w:ascii="Calibri" w:eastAsia="Calibri" w:hAnsi="Calibri" w:cs="Calibri"/>
        </w:rPr>
        <w:t xml:space="preserve">Homologar o </w:t>
      </w:r>
      <w:r>
        <w:rPr>
          <w:rFonts w:ascii="Calibri" w:eastAsia="Calibri" w:hAnsi="Calibri" w:cs="Calibri"/>
        </w:rPr>
        <w:t>entendimento do CAU/RS quanto às intervenções em bens integrantes do Patrimônio Histórico e Cultural, reconhecidos, listados, inventariados ou tombados, ou mesmo aqueles com potencial valor histórico e cultural, estabelecendo que as mesmas somente podem se</w:t>
      </w:r>
      <w:r>
        <w:rPr>
          <w:rFonts w:ascii="Calibri" w:eastAsia="Calibri" w:hAnsi="Calibri" w:cs="Calibri"/>
        </w:rPr>
        <w:t>r conduzidas com a coordenação de profissional habilitado (a) em arquitetura e urbanismo, com registro ativo e em condições de exercer a profissão de acordo com a legislação vigente;</w:t>
      </w:r>
    </w:p>
    <w:p w:rsidR="00B9787A" w:rsidRDefault="00B9787A">
      <w:pPr>
        <w:pBdr>
          <w:top w:val="nil"/>
          <w:left w:val="nil"/>
          <w:bottom w:val="nil"/>
          <w:right w:val="nil"/>
          <w:between w:val="nil"/>
        </w:pBdr>
        <w:shd w:val="clear" w:color="auto" w:fill="FFFFFF"/>
        <w:ind w:left="720"/>
        <w:jc w:val="both"/>
        <w:rPr>
          <w:rFonts w:ascii="Calibri" w:eastAsia="Calibri" w:hAnsi="Calibri" w:cs="Calibri"/>
          <w:color w:val="000000"/>
        </w:rPr>
      </w:pPr>
    </w:p>
    <w:p w:rsidR="00B9787A" w:rsidRDefault="009776CC">
      <w:pPr>
        <w:numPr>
          <w:ilvl w:val="0"/>
          <w:numId w:val="2"/>
        </w:num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Propor que, nos casos em que não sejam atendidos os critérios do item 1, caberá à Gerência de Fiscalização diligenciar os procedimentos adequados a fim de apurar possível exercício ilegal da profissão de arquitetura e urbanismo; </w:t>
      </w:r>
    </w:p>
    <w:p w:rsidR="00B9787A" w:rsidRDefault="00B9787A">
      <w:pPr>
        <w:pBdr>
          <w:top w:val="nil"/>
          <w:left w:val="nil"/>
          <w:bottom w:val="nil"/>
          <w:right w:val="nil"/>
          <w:between w:val="nil"/>
        </w:pBdr>
        <w:shd w:val="clear" w:color="auto" w:fill="FFFFFF"/>
        <w:ind w:left="720"/>
        <w:jc w:val="both"/>
        <w:rPr>
          <w:rFonts w:ascii="Calibri" w:eastAsia="Calibri" w:hAnsi="Calibri" w:cs="Calibri"/>
          <w:color w:val="000000"/>
        </w:rPr>
      </w:pPr>
    </w:p>
    <w:p w:rsidR="00B9787A" w:rsidRDefault="009776CC">
      <w:pPr>
        <w:numPr>
          <w:ilvl w:val="0"/>
          <w:numId w:val="2"/>
        </w:num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Encaminhar a presente deliberação ao CAU/BR para conhecimento. </w:t>
      </w:r>
    </w:p>
    <w:p w:rsidR="00B9787A" w:rsidRDefault="00B9787A">
      <w:pPr>
        <w:pBdr>
          <w:top w:val="nil"/>
          <w:left w:val="nil"/>
          <w:bottom w:val="nil"/>
          <w:right w:val="nil"/>
          <w:between w:val="nil"/>
        </w:pBdr>
        <w:ind w:left="720"/>
        <w:rPr>
          <w:rFonts w:ascii="Calibri" w:eastAsia="Calibri" w:hAnsi="Calibri" w:cs="Calibri"/>
          <w:color w:val="000000"/>
        </w:rPr>
      </w:pPr>
    </w:p>
    <w:p w:rsidR="00B9787A" w:rsidRDefault="009776CC">
      <w:pPr>
        <w:pBdr>
          <w:top w:val="nil"/>
          <w:left w:val="nil"/>
          <w:bottom w:val="nil"/>
          <w:right w:val="nil"/>
          <w:between w:val="nil"/>
        </w:pBdr>
        <w:shd w:val="clear" w:color="auto" w:fill="FFFFFF"/>
        <w:jc w:val="both"/>
        <w:rPr>
          <w:rFonts w:ascii="Calibri" w:eastAsia="Calibri" w:hAnsi="Calibri" w:cs="Calibri"/>
          <w:color w:val="000000"/>
          <w:u w:val="single"/>
        </w:rPr>
      </w:pPr>
      <w:r>
        <w:rPr>
          <w:rFonts w:ascii="Calibri" w:eastAsia="Calibri" w:hAnsi="Calibri" w:cs="Calibri"/>
          <w:color w:val="000000"/>
          <w:u w:val="single"/>
        </w:rPr>
        <w:t xml:space="preserve">Esta deliberação entra em vigor na data de sua publicação. </w:t>
      </w:r>
    </w:p>
    <w:p w:rsidR="00B9787A" w:rsidRDefault="00B9787A">
      <w:pPr>
        <w:jc w:val="both"/>
        <w:rPr>
          <w:rFonts w:ascii="Calibri" w:eastAsia="Calibri" w:hAnsi="Calibri" w:cs="Calibri"/>
        </w:rPr>
      </w:pPr>
    </w:p>
    <w:p w:rsidR="00B9787A" w:rsidRDefault="00F20268">
      <w:pPr>
        <w:ind w:right="-8"/>
        <w:jc w:val="both"/>
        <w:rPr>
          <w:rFonts w:ascii="Calibri" w:eastAsia="Calibri" w:hAnsi="Calibri" w:cs="Calibri"/>
        </w:rPr>
      </w:pPr>
      <w:r w:rsidRPr="00F20268">
        <w:rPr>
          <w:rFonts w:ascii="Calibri" w:eastAsia="Calibri" w:hAnsi="Calibri" w:cs="Calibri"/>
        </w:rPr>
        <w:t>Com 22 (vinte e dois) votos favoráveis, das conselheiras Andréa Larruscahim Hamilton Ilha, Deise Flores Santos, Denise dos Santos Simões, Evelise Jaime de Menezes, Gislaine Vargas Saibro, Ingrid Louise de Souza Dahm, Lidia Glacir Gomes Rodrigues, Marcia Elizabeth Martins,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r>
        <w:rPr>
          <w:rFonts w:ascii="Calibri" w:eastAsia="Calibri" w:hAnsi="Calibri" w:cs="Calibri"/>
        </w:rPr>
        <w:t>.</w:t>
      </w:r>
    </w:p>
    <w:p w:rsidR="00B9787A" w:rsidRDefault="00B9787A">
      <w:pPr>
        <w:pBdr>
          <w:top w:val="nil"/>
          <w:left w:val="nil"/>
          <w:bottom w:val="nil"/>
          <w:right w:val="nil"/>
          <w:between w:val="nil"/>
        </w:pBdr>
        <w:ind w:right="133"/>
        <w:jc w:val="center"/>
        <w:rPr>
          <w:rFonts w:ascii="Calibri" w:eastAsia="Calibri" w:hAnsi="Calibri" w:cs="Calibri"/>
          <w:color w:val="000000"/>
        </w:rPr>
      </w:pPr>
    </w:p>
    <w:p w:rsidR="00B9787A" w:rsidRDefault="00B9787A">
      <w:pPr>
        <w:pBdr>
          <w:top w:val="nil"/>
          <w:left w:val="nil"/>
          <w:bottom w:val="nil"/>
          <w:right w:val="nil"/>
          <w:between w:val="nil"/>
        </w:pBdr>
        <w:ind w:right="133"/>
        <w:jc w:val="center"/>
        <w:rPr>
          <w:rFonts w:ascii="Calibri" w:eastAsia="Calibri" w:hAnsi="Calibri" w:cs="Calibri"/>
          <w:color w:val="000000"/>
        </w:rPr>
      </w:pPr>
    </w:p>
    <w:p w:rsidR="00B9787A" w:rsidRDefault="009776CC">
      <w:pPr>
        <w:pBdr>
          <w:top w:val="nil"/>
          <w:left w:val="nil"/>
          <w:bottom w:val="nil"/>
          <w:right w:val="nil"/>
          <w:between w:val="nil"/>
        </w:pBdr>
        <w:ind w:right="133"/>
        <w:jc w:val="center"/>
        <w:rPr>
          <w:rFonts w:ascii="Calibri" w:eastAsia="Calibri" w:hAnsi="Calibri" w:cs="Calibri"/>
          <w:color w:val="000000"/>
        </w:rPr>
      </w:pPr>
      <w:r>
        <w:rPr>
          <w:rFonts w:ascii="Calibri" w:eastAsia="Calibri" w:hAnsi="Calibri" w:cs="Calibri"/>
          <w:color w:val="000000"/>
        </w:rPr>
        <w:t>Porto Alegre – RS, 29 de janeiro de 2021.</w:t>
      </w:r>
    </w:p>
    <w:p w:rsidR="00B9787A" w:rsidRDefault="00B9787A">
      <w:pPr>
        <w:pBdr>
          <w:top w:val="nil"/>
          <w:left w:val="nil"/>
          <w:bottom w:val="nil"/>
          <w:right w:val="nil"/>
          <w:between w:val="nil"/>
        </w:pBdr>
        <w:ind w:right="133"/>
        <w:jc w:val="center"/>
        <w:rPr>
          <w:rFonts w:ascii="Calibri" w:eastAsia="Calibri" w:hAnsi="Calibri" w:cs="Calibri"/>
          <w:color w:val="000000"/>
        </w:rPr>
      </w:pPr>
    </w:p>
    <w:p w:rsidR="00B9787A" w:rsidRDefault="00B9787A">
      <w:pPr>
        <w:pBdr>
          <w:top w:val="nil"/>
          <w:left w:val="nil"/>
          <w:bottom w:val="nil"/>
          <w:right w:val="nil"/>
          <w:between w:val="nil"/>
        </w:pBdr>
        <w:ind w:right="133"/>
        <w:jc w:val="center"/>
        <w:rPr>
          <w:rFonts w:ascii="Calibri" w:eastAsia="Calibri" w:hAnsi="Calibri" w:cs="Calibri"/>
          <w:color w:val="000000"/>
        </w:rPr>
      </w:pPr>
    </w:p>
    <w:p w:rsidR="00B9787A" w:rsidRDefault="009776CC">
      <w:pPr>
        <w:tabs>
          <w:tab w:val="left" w:pos="8647"/>
        </w:tabs>
        <w:jc w:val="center"/>
        <w:rPr>
          <w:rFonts w:ascii="Calibri" w:eastAsia="Calibri" w:hAnsi="Calibri" w:cs="Calibri"/>
        </w:rPr>
      </w:pPr>
      <w:r>
        <w:rPr>
          <w:rFonts w:ascii="Calibri" w:eastAsia="Calibri" w:hAnsi="Calibri" w:cs="Calibri"/>
        </w:rPr>
        <w:t xml:space="preserve">TIAGO HOLZMANN DA SILVA </w:t>
      </w:r>
    </w:p>
    <w:p w:rsidR="00B9787A" w:rsidRDefault="009776CC">
      <w:pPr>
        <w:tabs>
          <w:tab w:val="left" w:pos="8647"/>
        </w:tabs>
        <w:jc w:val="center"/>
        <w:rPr>
          <w:rFonts w:ascii="Calibri" w:eastAsia="Calibri" w:hAnsi="Calibri" w:cs="Calibri"/>
        </w:rPr>
        <w:sectPr w:rsidR="00B9787A">
          <w:headerReference w:type="even" r:id="rId7"/>
          <w:headerReference w:type="default" r:id="rId8"/>
          <w:footerReference w:type="even" r:id="rId9"/>
          <w:footerReference w:type="default" r:id="rId10"/>
          <w:headerReference w:type="first" r:id="rId11"/>
          <w:footerReference w:type="first" r:id="rId12"/>
          <w:pgSz w:w="11900" w:h="16840"/>
          <w:pgMar w:top="1701" w:right="851" w:bottom="851" w:left="1701" w:header="1361" w:footer="227" w:gutter="0"/>
          <w:pgNumType w:start="1"/>
          <w:cols w:space="720"/>
          <w:titlePg/>
        </w:sectPr>
      </w:pPr>
      <w:r>
        <w:rPr>
          <w:rFonts w:ascii="Calibri" w:eastAsia="Calibri" w:hAnsi="Calibri" w:cs="Calibri"/>
        </w:rPr>
        <w:t>Presidente do CAU/RS</w:t>
      </w:r>
    </w:p>
    <w:p w:rsidR="00B9787A" w:rsidRDefault="00B9787A">
      <w:pPr>
        <w:jc w:val="center"/>
        <w:rPr>
          <w:rFonts w:ascii="Calibri" w:eastAsia="Calibri" w:hAnsi="Calibri" w:cs="Calibri"/>
          <w:sz w:val="22"/>
          <w:szCs w:val="22"/>
        </w:rPr>
      </w:pPr>
    </w:p>
    <w:p w:rsidR="00B9787A" w:rsidRDefault="009776CC">
      <w:pPr>
        <w:jc w:val="center"/>
        <w:rPr>
          <w:rFonts w:ascii="Calibri" w:eastAsia="Calibri" w:hAnsi="Calibri" w:cs="Calibri"/>
          <w:b/>
          <w:sz w:val="22"/>
          <w:szCs w:val="22"/>
        </w:rPr>
      </w:pPr>
      <w:r>
        <w:rPr>
          <w:rFonts w:ascii="Calibri" w:eastAsia="Calibri" w:hAnsi="Calibri" w:cs="Calibri"/>
          <w:b/>
          <w:sz w:val="22"/>
          <w:szCs w:val="22"/>
        </w:rPr>
        <w:t>23ª REUNIÃO PLENÁRIA EXTRAORDINÁRIA DO CAU/RS</w:t>
      </w:r>
    </w:p>
    <w:p w:rsidR="00B9787A" w:rsidRDefault="00B9787A">
      <w:pPr>
        <w:jc w:val="center"/>
        <w:rPr>
          <w:rFonts w:ascii="Calibri" w:eastAsia="Calibri" w:hAnsi="Calibri" w:cs="Calibri"/>
          <w:sz w:val="22"/>
          <w:szCs w:val="22"/>
        </w:rPr>
      </w:pPr>
    </w:p>
    <w:tbl>
      <w:tblPr>
        <w:tblStyle w:val="a0"/>
        <w:tblW w:w="93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521"/>
        <w:gridCol w:w="3809"/>
      </w:tblGrid>
      <w:tr w:rsidR="00B9787A" w:rsidTr="00B9787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left w:val="single" w:sz="4" w:space="0" w:color="BFBFBF"/>
              <w:bottom w:val="single" w:sz="4" w:space="0" w:color="BFBFBF"/>
              <w:right w:val="single" w:sz="4" w:space="0" w:color="BFBFBF"/>
            </w:tcBorders>
          </w:tcPr>
          <w:p w:rsidR="00B9787A" w:rsidRDefault="009776CC">
            <w:pPr>
              <w:jc w:val="center"/>
              <w:rPr>
                <w:rFonts w:ascii="Calibri" w:eastAsia="Calibri" w:hAnsi="Calibri" w:cs="Calibri"/>
              </w:rPr>
            </w:pPr>
            <w:r>
              <w:rPr>
                <w:rFonts w:ascii="Calibri" w:eastAsia="Calibri" w:hAnsi="Calibri" w:cs="Calibri"/>
              </w:rPr>
              <w:t>Votação da Deliberação Plenária DPO-RS nº 1258/2021 - Protocolo nº 1216471/2020</w:t>
            </w:r>
          </w:p>
        </w:tc>
      </w:tr>
      <w:tr w:rsidR="00B9787A" w:rsidTr="00B9787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tcPr>
          <w:p w:rsidR="00B9787A" w:rsidRDefault="009776CC">
            <w:pPr>
              <w:spacing w:line="276" w:lineRule="auto"/>
              <w:jc w:val="center"/>
              <w:rPr>
                <w:rFonts w:ascii="Calibri" w:eastAsia="Calibri" w:hAnsi="Calibri" w:cs="Calibri"/>
                <w:sz w:val="22"/>
                <w:szCs w:val="22"/>
              </w:rPr>
            </w:pPr>
            <w:r>
              <w:rPr>
                <w:rFonts w:ascii="Calibri" w:eastAsia="Calibri" w:hAnsi="Calibri" w:cs="Calibri"/>
                <w:sz w:val="22"/>
                <w:szCs w:val="22"/>
              </w:rPr>
              <w:t>Nome </w:t>
            </w:r>
          </w:p>
        </w:tc>
        <w:tc>
          <w:tcPr>
            <w:tcW w:w="3809" w:type="dxa"/>
          </w:tcPr>
          <w:p w:rsidR="00B9787A" w:rsidRDefault="009776C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2"/>
                <w:szCs w:val="22"/>
              </w:rPr>
            </w:pPr>
            <w:r>
              <w:rPr>
                <w:rFonts w:ascii="Calibri" w:eastAsia="Calibri" w:hAnsi="Calibri" w:cs="Calibri"/>
                <w:b/>
                <w:sz w:val="22"/>
                <w:szCs w:val="22"/>
              </w:rPr>
              <w:t>Voto Nominal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Andréa Larruscahim Hamilton Ilha</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Carlos Eduardo Iponema Costa</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Carlos Eduardo Mesquita Pedone</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Deise Flores Santos</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Denise dos Santos Simões</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Emilio Merino Dominguez</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Evelise Jaime de Menezes</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Fabio Muller</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Fausto Henrique Steffen</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Miguel Farina</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Ingrid Louise de Souza Dahm</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Luiz Antonio Veríssimo</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Marcia Elizabeth Martins</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Nubia Margot Menezes Jardim</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Orildes Tres</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Pedro Xavier de Araujo</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Rafael Artico</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Rinaldo Ferreira Barbosa</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Roberta Krahe Edelweiss</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Rodrigo Rintzel</w:t>
            </w:r>
          </w:p>
        </w:tc>
        <w:tc>
          <w:tcPr>
            <w:tcW w:w="3809" w:type="dxa"/>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Rodrigo Spinelli</w:t>
            </w:r>
          </w:p>
        </w:tc>
        <w:tc>
          <w:tcPr>
            <w:tcW w:w="3809" w:type="dxa"/>
            <w:vAlign w:val="center"/>
          </w:tcPr>
          <w:p w:rsidR="00B9787A" w:rsidRPr="00F20268" w:rsidRDefault="009776C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r w:rsidR="00B9787A" w:rsidTr="00B978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B9787A" w:rsidRPr="00F20268" w:rsidRDefault="009776CC">
            <w:pPr>
              <w:numPr>
                <w:ilvl w:val="0"/>
                <w:numId w:val="1"/>
              </w:numPr>
              <w:pBdr>
                <w:top w:val="nil"/>
                <w:left w:val="nil"/>
                <w:bottom w:val="nil"/>
                <w:right w:val="nil"/>
                <w:between w:val="nil"/>
              </w:pBdr>
              <w:rPr>
                <w:rFonts w:ascii="Calibri" w:eastAsia="Calibri" w:hAnsi="Calibri" w:cs="Calibri"/>
                <w:color w:val="000000"/>
                <w:sz w:val="20"/>
                <w:szCs w:val="20"/>
              </w:rPr>
            </w:pPr>
            <w:r w:rsidRPr="00F20268">
              <w:rPr>
                <w:rFonts w:ascii="Calibri" w:eastAsia="Calibri" w:hAnsi="Calibri" w:cs="Calibri"/>
                <w:b w:val="0"/>
                <w:color w:val="000000"/>
                <w:sz w:val="20"/>
                <w:szCs w:val="20"/>
              </w:rPr>
              <w:t>Silvia Monteiro Barakat</w:t>
            </w:r>
          </w:p>
        </w:tc>
        <w:tc>
          <w:tcPr>
            <w:tcW w:w="3809" w:type="dxa"/>
            <w:tcBorders>
              <w:bottom w:val="nil"/>
            </w:tcBorders>
            <w:vAlign w:val="center"/>
          </w:tcPr>
          <w:p w:rsidR="00B9787A" w:rsidRPr="00F20268" w:rsidRDefault="009776C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F20268">
              <w:rPr>
                <w:rFonts w:ascii="Calibri" w:eastAsia="Calibri" w:hAnsi="Calibri" w:cs="Calibri"/>
                <w:color w:val="000000"/>
                <w:sz w:val="20"/>
                <w:szCs w:val="20"/>
              </w:rPr>
              <w:t>Favorável</w:t>
            </w:r>
          </w:p>
        </w:tc>
      </w:tr>
    </w:tbl>
    <w:p w:rsidR="00B9787A" w:rsidRDefault="00B9787A">
      <w:pPr>
        <w:widowControl w:val="0"/>
        <w:pBdr>
          <w:top w:val="nil"/>
          <w:left w:val="nil"/>
          <w:bottom w:val="nil"/>
          <w:right w:val="nil"/>
          <w:between w:val="nil"/>
        </w:pBdr>
        <w:spacing w:line="276" w:lineRule="auto"/>
        <w:rPr>
          <w:rFonts w:ascii="Calibri" w:eastAsia="Calibri" w:hAnsi="Calibri" w:cs="Calibri"/>
          <w:color w:val="000000"/>
          <w:sz w:val="20"/>
          <w:szCs w:val="20"/>
          <w:highlight w:val="yellow"/>
        </w:rPr>
      </w:pPr>
    </w:p>
    <w:tbl>
      <w:tblPr>
        <w:tblStyle w:val="a1"/>
        <w:tblW w:w="933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755"/>
        <w:gridCol w:w="4575"/>
      </w:tblGrid>
      <w:tr w:rsidR="00B9787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tcPr>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Histórico da votação:  </w:t>
            </w:r>
          </w:p>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 </w:t>
            </w:r>
          </w:p>
        </w:tc>
      </w:tr>
      <w:tr w:rsidR="00B9787A">
        <w:trPr>
          <w:trHeight w:val="300"/>
        </w:trPr>
        <w:tc>
          <w:tcPr>
            <w:tcW w:w="9330" w:type="dxa"/>
            <w:gridSpan w:val="2"/>
            <w:tcBorders>
              <w:top w:val="nil"/>
              <w:left w:val="single" w:sz="6" w:space="0" w:color="D0CECE"/>
              <w:bottom w:val="nil"/>
              <w:right w:val="single" w:sz="6" w:space="0" w:color="D0CECE"/>
            </w:tcBorders>
            <w:shd w:val="clear" w:color="auto" w:fill="E7E6E6"/>
          </w:tcPr>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Plenária Extraordinária nº 23</w:t>
            </w:r>
          </w:p>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 </w:t>
            </w:r>
          </w:p>
        </w:tc>
      </w:tr>
      <w:tr w:rsidR="00B9787A">
        <w:trPr>
          <w:trHeight w:val="300"/>
        </w:trPr>
        <w:tc>
          <w:tcPr>
            <w:tcW w:w="9330" w:type="dxa"/>
            <w:gridSpan w:val="2"/>
            <w:tcBorders>
              <w:top w:val="nil"/>
              <w:left w:val="single" w:sz="6" w:space="0" w:color="D0CECE"/>
              <w:bottom w:val="nil"/>
              <w:right w:val="single" w:sz="6" w:space="0" w:color="D0CECE"/>
            </w:tcBorders>
            <w:shd w:val="clear" w:color="auto" w:fill="E7E6E6"/>
          </w:tcPr>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Data: 29/01/2021 </w:t>
            </w:r>
          </w:p>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 </w:t>
            </w:r>
          </w:p>
          <w:p w:rsidR="00B9787A" w:rsidRDefault="009776CC">
            <w:pPr>
              <w:spacing w:line="276" w:lineRule="auto"/>
              <w:jc w:val="both"/>
              <w:rPr>
                <w:rFonts w:ascii="Calibri" w:eastAsia="Calibri" w:hAnsi="Calibri" w:cs="Calibri"/>
                <w:sz w:val="20"/>
                <w:szCs w:val="20"/>
              </w:rPr>
            </w:pPr>
            <w:r>
              <w:rPr>
                <w:rFonts w:ascii="Calibri" w:eastAsia="Calibri" w:hAnsi="Calibri" w:cs="Calibri"/>
                <w:b/>
                <w:sz w:val="20"/>
                <w:szCs w:val="20"/>
              </w:rPr>
              <w:t xml:space="preserve">Matéria em votação: DPO-RS </w:t>
            </w:r>
            <w:r w:rsidR="00F20268">
              <w:rPr>
                <w:rFonts w:ascii="Calibri" w:eastAsia="Calibri" w:hAnsi="Calibri" w:cs="Calibri"/>
                <w:b/>
                <w:sz w:val="20"/>
                <w:szCs w:val="20"/>
              </w:rPr>
              <w:t>1258</w:t>
            </w:r>
            <w:r>
              <w:rPr>
                <w:rFonts w:ascii="Calibri" w:eastAsia="Calibri" w:hAnsi="Calibri" w:cs="Calibri"/>
                <w:b/>
                <w:sz w:val="20"/>
                <w:szCs w:val="20"/>
              </w:rPr>
              <w:t xml:space="preserve">/2021 </w:t>
            </w:r>
            <w:r>
              <w:rPr>
                <w:rFonts w:ascii="Calibri" w:eastAsia="Calibri" w:hAnsi="Calibri" w:cs="Calibri"/>
                <w:sz w:val="20"/>
                <w:szCs w:val="20"/>
              </w:rPr>
              <w:t>– Atribuição Profissional Arquiteto e Urbanista - Intervenção Patrimônio Histórico e Cultural</w:t>
            </w:r>
          </w:p>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 </w:t>
            </w:r>
          </w:p>
        </w:tc>
      </w:tr>
      <w:tr w:rsidR="00B9787A">
        <w:trPr>
          <w:trHeight w:val="300"/>
        </w:trPr>
        <w:tc>
          <w:tcPr>
            <w:tcW w:w="9330" w:type="dxa"/>
            <w:gridSpan w:val="2"/>
            <w:tcBorders>
              <w:top w:val="nil"/>
              <w:left w:val="single" w:sz="6" w:space="0" w:color="D0CECE"/>
              <w:bottom w:val="nil"/>
              <w:right w:val="single" w:sz="6" w:space="0" w:color="D0CECE"/>
            </w:tcBorders>
            <w:shd w:val="clear" w:color="auto" w:fill="E7E6E6"/>
          </w:tcPr>
          <w:p w:rsidR="00B9787A" w:rsidRPr="009776CC" w:rsidRDefault="009776CC">
            <w:pPr>
              <w:spacing w:line="276" w:lineRule="auto"/>
              <w:jc w:val="both"/>
              <w:rPr>
                <w:rFonts w:ascii="Calibri" w:eastAsia="Calibri" w:hAnsi="Calibri" w:cs="Calibri"/>
                <w:sz w:val="20"/>
                <w:szCs w:val="20"/>
              </w:rPr>
            </w:pPr>
            <w:r w:rsidRPr="009776CC">
              <w:rPr>
                <w:rFonts w:ascii="Calibri" w:eastAsia="Calibri" w:hAnsi="Calibri" w:cs="Calibri"/>
                <w:b/>
                <w:sz w:val="20"/>
                <w:szCs w:val="20"/>
              </w:rPr>
              <w:t xml:space="preserve">Resultado da votação: </w:t>
            </w:r>
            <w:r w:rsidRPr="009776CC">
              <w:rPr>
                <w:rFonts w:ascii="Calibri" w:eastAsia="Calibri" w:hAnsi="Calibri" w:cs="Calibri"/>
                <w:sz w:val="20"/>
                <w:szCs w:val="20"/>
              </w:rPr>
              <w:t>Votos</w:t>
            </w:r>
            <w:r w:rsidRPr="009776CC">
              <w:rPr>
                <w:rFonts w:ascii="Calibri" w:eastAsia="Calibri" w:hAnsi="Calibri" w:cs="Calibri"/>
                <w:b/>
                <w:sz w:val="20"/>
                <w:szCs w:val="20"/>
              </w:rPr>
              <w:t xml:space="preserve"> </w:t>
            </w:r>
            <w:r w:rsidRPr="009776CC">
              <w:rPr>
                <w:rFonts w:ascii="Calibri" w:eastAsia="Calibri" w:hAnsi="Calibri" w:cs="Calibri"/>
                <w:sz w:val="20"/>
                <w:szCs w:val="20"/>
              </w:rPr>
              <w:t>Favoráveis (22) Votos C</w:t>
            </w:r>
            <w:r w:rsidRPr="009776CC">
              <w:rPr>
                <w:rFonts w:ascii="Calibri" w:eastAsia="Calibri" w:hAnsi="Calibri" w:cs="Calibri"/>
                <w:sz w:val="20"/>
                <w:szCs w:val="20"/>
              </w:rPr>
              <w:t>ontrários (00) A</w:t>
            </w:r>
            <w:r w:rsidRPr="009776CC">
              <w:rPr>
                <w:rFonts w:ascii="Calibri" w:eastAsia="Calibri" w:hAnsi="Calibri" w:cs="Calibri"/>
                <w:sz w:val="20"/>
                <w:szCs w:val="20"/>
              </w:rPr>
              <w:t>usências (00) Abstenções (00) T</w:t>
            </w:r>
            <w:r w:rsidRPr="009776CC">
              <w:rPr>
                <w:rFonts w:ascii="Calibri" w:eastAsia="Calibri" w:hAnsi="Calibri" w:cs="Calibri"/>
                <w:sz w:val="20"/>
                <w:szCs w:val="20"/>
              </w:rPr>
              <w:t>otal (22)</w:t>
            </w:r>
            <w:r w:rsidRPr="009776CC">
              <w:rPr>
                <w:rFonts w:ascii="Calibri" w:eastAsia="Calibri" w:hAnsi="Calibri" w:cs="Calibri"/>
                <w:sz w:val="20"/>
                <w:szCs w:val="20"/>
              </w:rPr>
              <w:t> </w:t>
            </w:r>
          </w:p>
          <w:p w:rsidR="00B9787A" w:rsidRPr="009776CC" w:rsidRDefault="009776CC">
            <w:pPr>
              <w:spacing w:line="276" w:lineRule="auto"/>
              <w:jc w:val="both"/>
              <w:rPr>
                <w:rFonts w:ascii="Calibri" w:eastAsia="Calibri" w:hAnsi="Calibri" w:cs="Calibri"/>
                <w:b/>
                <w:sz w:val="20"/>
                <w:szCs w:val="20"/>
              </w:rPr>
            </w:pPr>
            <w:r w:rsidRPr="009776CC">
              <w:rPr>
                <w:rFonts w:ascii="Calibri" w:eastAsia="Calibri" w:hAnsi="Calibri" w:cs="Calibri"/>
                <w:b/>
                <w:sz w:val="20"/>
                <w:szCs w:val="20"/>
              </w:rPr>
              <w:t> </w:t>
            </w:r>
          </w:p>
        </w:tc>
      </w:tr>
      <w:tr w:rsidR="00B9787A">
        <w:trPr>
          <w:trHeight w:val="300"/>
        </w:trPr>
        <w:tc>
          <w:tcPr>
            <w:tcW w:w="9330" w:type="dxa"/>
            <w:gridSpan w:val="2"/>
            <w:tcBorders>
              <w:top w:val="nil"/>
              <w:left w:val="single" w:sz="6" w:space="0" w:color="D0CECE"/>
              <w:bottom w:val="nil"/>
              <w:right w:val="single" w:sz="6" w:space="0" w:color="D0CECE"/>
            </w:tcBorders>
            <w:shd w:val="clear" w:color="auto" w:fill="E7E6E6"/>
          </w:tcPr>
          <w:p w:rsidR="00B9787A" w:rsidRPr="009776CC" w:rsidRDefault="009776CC">
            <w:pPr>
              <w:spacing w:line="276" w:lineRule="auto"/>
              <w:jc w:val="both"/>
              <w:rPr>
                <w:rFonts w:ascii="Calibri" w:eastAsia="Calibri" w:hAnsi="Calibri" w:cs="Calibri"/>
                <w:sz w:val="20"/>
                <w:szCs w:val="20"/>
              </w:rPr>
            </w:pPr>
            <w:r w:rsidRPr="009776CC">
              <w:rPr>
                <w:rFonts w:ascii="Calibri" w:eastAsia="Calibri" w:hAnsi="Calibri" w:cs="Calibri"/>
                <w:b/>
                <w:sz w:val="20"/>
                <w:szCs w:val="20"/>
              </w:rPr>
              <w:t>Ocorrências: </w:t>
            </w:r>
            <w:r w:rsidRPr="009776CC">
              <w:rPr>
                <w:rFonts w:ascii="Calibri" w:eastAsia="Calibri" w:hAnsi="Calibri" w:cs="Calibri"/>
                <w:sz w:val="20"/>
                <w:szCs w:val="20"/>
              </w:rPr>
              <w:t>Votos registrados com chamada nominal.</w:t>
            </w:r>
          </w:p>
          <w:p w:rsidR="00B9787A" w:rsidRPr="009776CC" w:rsidRDefault="009776CC">
            <w:pPr>
              <w:tabs>
                <w:tab w:val="left" w:pos="1972"/>
              </w:tabs>
              <w:spacing w:line="276" w:lineRule="auto"/>
              <w:jc w:val="both"/>
              <w:rPr>
                <w:rFonts w:ascii="Calibri" w:eastAsia="Calibri" w:hAnsi="Calibri" w:cs="Calibri"/>
                <w:b/>
                <w:sz w:val="20"/>
                <w:szCs w:val="20"/>
              </w:rPr>
            </w:pPr>
            <w:r w:rsidRPr="009776CC">
              <w:rPr>
                <w:rFonts w:ascii="Calibri" w:eastAsia="Calibri" w:hAnsi="Calibri" w:cs="Calibri"/>
                <w:b/>
                <w:sz w:val="20"/>
                <w:szCs w:val="20"/>
              </w:rPr>
              <w:t> </w:t>
            </w:r>
            <w:r w:rsidRPr="009776CC">
              <w:rPr>
                <w:rFonts w:ascii="Calibri" w:eastAsia="Calibri" w:hAnsi="Calibri" w:cs="Calibri"/>
                <w:b/>
                <w:sz w:val="20"/>
                <w:szCs w:val="20"/>
              </w:rPr>
              <w:tab/>
            </w:r>
          </w:p>
          <w:p w:rsidR="00B9787A" w:rsidRPr="009776CC" w:rsidRDefault="00B9787A">
            <w:pPr>
              <w:tabs>
                <w:tab w:val="left" w:pos="1972"/>
              </w:tabs>
              <w:spacing w:line="276" w:lineRule="auto"/>
              <w:jc w:val="both"/>
              <w:rPr>
                <w:rFonts w:ascii="Calibri" w:eastAsia="Calibri" w:hAnsi="Calibri" w:cs="Calibri"/>
                <w:b/>
                <w:sz w:val="20"/>
                <w:szCs w:val="20"/>
              </w:rPr>
            </w:pPr>
          </w:p>
        </w:tc>
      </w:tr>
      <w:tr w:rsidR="00B9787A">
        <w:trPr>
          <w:trHeight w:val="300"/>
        </w:trPr>
        <w:tc>
          <w:tcPr>
            <w:tcW w:w="4755" w:type="dxa"/>
            <w:tcBorders>
              <w:top w:val="nil"/>
              <w:left w:val="single" w:sz="6" w:space="0" w:color="D0CECE"/>
              <w:bottom w:val="single" w:sz="6" w:space="0" w:color="D0CECE"/>
              <w:right w:val="nil"/>
            </w:tcBorders>
            <w:shd w:val="clear" w:color="auto" w:fill="E7E6E6"/>
          </w:tcPr>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Secretária da Reunião: Josiane Cristina Bernardi </w:t>
            </w:r>
          </w:p>
        </w:tc>
        <w:tc>
          <w:tcPr>
            <w:tcW w:w="4575" w:type="dxa"/>
            <w:tcBorders>
              <w:top w:val="nil"/>
              <w:left w:val="nil"/>
              <w:bottom w:val="single" w:sz="6" w:space="0" w:color="D0CECE"/>
              <w:right w:val="single" w:sz="6" w:space="0" w:color="D0CECE"/>
            </w:tcBorders>
            <w:shd w:val="clear" w:color="auto" w:fill="E7E6E6"/>
          </w:tcPr>
          <w:p w:rsidR="00B9787A" w:rsidRDefault="009776CC">
            <w:pPr>
              <w:spacing w:line="276" w:lineRule="auto"/>
              <w:jc w:val="both"/>
              <w:rPr>
                <w:rFonts w:ascii="Calibri" w:eastAsia="Calibri" w:hAnsi="Calibri" w:cs="Calibri"/>
                <w:b/>
                <w:sz w:val="20"/>
                <w:szCs w:val="20"/>
              </w:rPr>
            </w:pPr>
            <w:r>
              <w:rPr>
                <w:rFonts w:ascii="Calibri" w:eastAsia="Calibri" w:hAnsi="Calibri" w:cs="Calibri"/>
                <w:b/>
                <w:sz w:val="20"/>
                <w:szCs w:val="20"/>
              </w:rPr>
              <w:t>Presidente da Reunião: Tiago Holzmann da Silva     </w:t>
            </w:r>
          </w:p>
        </w:tc>
      </w:tr>
    </w:tbl>
    <w:p w:rsidR="00B9787A" w:rsidRDefault="009776CC">
      <w:pPr>
        <w:spacing w:after="200" w:line="276" w:lineRule="auto"/>
        <w:rPr>
          <w:rFonts w:ascii="Calibri" w:eastAsia="Calibri" w:hAnsi="Calibri" w:cs="Calibri"/>
          <w:sz w:val="18"/>
          <w:szCs w:val="18"/>
        </w:rPr>
      </w:pPr>
      <w:r>
        <w:rPr>
          <w:rFonts w:ascii="Calibri" w:eastAsia="Calibri" w:hAnsi="Calibri" w:cs="Calibri"/>
          <w:sz w:val="18"/>
          <w:szCs w:val="18"/>
        </w:rPr>
        <w:t xml:space="preserve"> </w:t>
      </w:r>
    </w:p>
    <w:p w:rsidR="00B9787A" w:rsidRDefault="00B9787A">
      <w:pPr>
        <w:rPr>
          <w:rFonts w:ascii="Calibri" w:eastAsia="Calibri" w:hAnsi="Calibri" w:cs="Calibri"/>
          <w:sz w:val="22"/>
          <w:szCs w:val="22"/>
        </w:rPr>
      </w:pPr>
    </w:p>
    <w:p w:rsidR="00B9787A" w:rsidRDefault="00B9787A">
      <w:pPr>
        <w:rPr>
          <w:rFonts w:ascii="Calibri" w:eastAsia="Calibri" w:hAnsi="Calibri" w:cs="Calibri"/>
          <w:sz w:val="22"/>
          <w:szCs w:val="22"/>
        </w:rPr>
      </w:pPr>
    </w:p>
    <w:p w:rsidR="00B9787A" w:rsidRDefault="00B9787A">
      <w:pPr>
        <w:jc w:val="both"/>
        <w:rPr>
          <w:rFonts w:ascii="Calibri" w:eastAsia="Calibri" w:hAnsi="Calibri" w:cs="Calibri"/>
          <w:sz w:val="22"/>
          <w:szCs w:val="22"/>
        </w:rPr>
      </w:pPr>
      <w:bookmarkStart w:id="1" w:name="_GoBack"/>
      <w:bookmarkEnd w:id="1"/>
    </w:p>
    <w:sectPr w:rsidR="00B9787A">
      <w:headerReference w:type="even" r:id="rId13"/>
      <w:headerReference w:type="default" r:id="rId14"/>
      <w:footerReference w:type="even" r:id="rId15"/>
      <w:footerReference w:type="default" r:id="rId16"/>
      <w:headerReference w:type="first" r:id="rId17"/>
      <w:footerReference w:type="first" r:id="rId18"/>
      <w:pgSz w:w="11900" w:h="16840"/>
      <w:pgMar w:top="1701" w:right="851" w:bottom="1134" w:left="1701" w:header="1361"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776CC">
      <w:r>
        <w:separator/>
      </w:r>
    </w:p>
  </w:endnote>
  <w:endnote w:type="continuationSeparator" w:id="0">
    <w:p w:rsidR="00000000" w:rsidRDefault="0097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16"/>
        <w:szCs w:val="16"/>
      </w:rPr>
    </w:pPr>
    <w:r>
      <w:rPr>
        <w:rFonts w:ascii="Arial" w:eastAsia="Arial" w:hAnsi="Arial" w:cs="Arial"/>
        <w:color w:val="003333"/>
        <w:sz w:val="16"/>
        <w:szCs w:val="16"/>
      </w:rPr>
      <w:t>SCN Qd.01, Bloco E, Ed. Central Park, Salas 302/303 | CEP: 70711-903 Brasília/DF | Tel.: (61) 3326-2272 / 2297 - 3328-5632 / 5946</w:t>
    </w:r>
  </w:p>
  <w:p w:rsidR="00B9787A" w:rsidRDefault="009776CC">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20"/>
        <w:szCs w:val="20"/>
      </w:rPr>
    </w:pPr>
    <w:r>
      <w:rPr>
        <w:rFonts w:ascii="Arial" w:eastAsia="Arial" w:hAnsi="Arial" w:cs="Arial"/>
        <w:b/>
        <w:color w:val="003333"/>
        <w:sz w:val="22"/>
        <w:szCs w:val="22"/>
      </w:rPr>
      <w:t>www.caubr.org.br</w:t>
    </w:r>
    <w:r>
      <w:rPr>
        <w:rFonts w:ascii="Arial" w:eastAsia="Arial" w:hAnsi="Arial" w:cs="Arial"/>
        <w:color w:val="003333"/>
        <w:sz w:val="22"/>
        <w:szCs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tabs>
        <w:tab w:val="center" w:pos="4320"/>
        <w:tab w:val="right" w:pos="8640"/>
      </w:tabs>
      <w:spacing w:after="120" w:line="276" w:lineRule="auto"/>
      <w:ind w:left="-1701" w:right="-851"/>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rsidR="00B9787A" w:rsidRDefault="00B9787A">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p>
  <w:p w:rsidR="00B9787A" w:rsidRDefault="009776CC">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r>
      <w:rPr>
        <w:color w:val="000000"/>
        <w:sz w:val="20"/>
        <w:szCs w:val="20"/>
      </w:rPr>
      <w:tab/>
    </w:r>
    <w:r>
      <w:rPr>
        <w:color w:val="000000"/>
        <w:sz w:val="20"/>
        <w:szCs w:val="20"/>
      </w:rPr>
      <w:tab/>
    </w:r>
    <w:r>
      <w:rPr>
        <w:rFonts w:ascii="DaxCondensed" w:eastAsia="DaxCondensed" w:hAnsi="DaxCondensed" w:cs="DaxCondensed"/>
        <w:color w:val="2C778C"/>
        <w:sz w:val="20"/>
        <w:szCs w:val="20"/>
      </w:rPr>
      <w:fldChar w:fldCharType="begin"/>
    </w:r>
    <w:r>
      <w:rPr>
        <w:rFonts w:ascii="DaxCondensed" w:eastAsia="DaxCondensed" w:hAnsi="DaxCondensed" w:cs="DaxCondensed"/>
        <w:color w:val="2C778C"/>
        <w:sz w:val="20"/>
        <w:szCs w:val="20"/>
      </w:rPr>
      <w:instrText>PAGE</w:instrText>
    </w:r>
    <w:r w:rsidR="00F20268">
      <w:rPr>
        <w:rFonts w:ascii="DaxCondensed" w:eastAsia="DaxCondensed" w:hAnsi="DaxCondensed" w:cs="DaxCondensed"/>
        <w:color w:val="2C778C"/>
        <w:sz w:val="20"/>
        <w:szCs w:val="20"/>
      </w:rPr>
      <w:fldChar w:fldCharType="separate"/>
    </w:r>
    <w:r>
      <w:rPr>
        <w:rFonts w:ascii="DaxCondensed" w:eastAsia="DaxCondensed" w:hAnsi="DaxCondensed" w:cs="DaxCondensed"/>
        <w:noProof/>
        <w:color w:val="2C778C"/>
        <w:sz w:val="20"/>
        <w:szCs w:val="20"/>
      </w:rPr>
      <w:t>2</w:t>
    </w:r>
    <w:r>
      <w:rPr>
        <w:rFonts w:ascii="DaxCondensed" w:eastAsia="DaxCondensed" w:hAnsi="DaxCondensed" w:cs="DaxCondensed"/>
        <w:color w:val="2C778C"/>
        <w:sz w:val="20"/>
        <w:szCs w:val="20"/>
      </w:rPr>
      <w:fldChar w:fldCharType="end"/>
    </w:r>
  </w:p>
  <w:p w:rsidR="00B9787A" w:rsidRDefault="009776CC">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tabs>
        <w:tab w:val="center" w:pos="4320"/>
        <w:tab w:val="right" w:pos="8640"/>
      </w:tabs>
      <w:spacing w:after="120" w:line="276" w:lineRule="auto"/>
      <w:ind w:left="-1701" w:right="-851"/>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rsidR="00B9787A" w:rsidRDefault="00B9787A">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p>
  <w:p w:rsidR="00B9787A" w:rsidRDefault="009776CC">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r>
      <w:rPr>
        <w:color w:val="000000"/>
        <w:sz w:val="20"/>
        <w:szCs w:val="20"/>
      </w:rPr>
      <w:tab/>
    </w:r>
    <w:r>
      <w:rPr>
        <w:color w:val="000000"/>
        <w:sz w:val="20"/>
        <w:szCs w:val="20"/>
      </w:rPr>
      <w:tab/>
    </w:r>
    <w:r>
      <w:rPr>
        <w:rFonts w:ascii="DaxCondensed" w:eastAsia="DaxCondensed" w:hAnsi="DaxCondensed" w:cs="DaxCondensed"/>
        <w:color w:val="2C778C"/>
        <w:sz w:val="20"/>
        <w:szCs w:val="20"/>
      </w:rPr>
      <w:fldChar w:fldCharType="begin"/>
    </w:r>
    <w:r>
      <w:rPr>
        <w:rFonts w:ascii="DaxCondensed" w:eastAsia="DaxCondensed" w:hAnsi="DaxCondensed" w:cs="DaxCondensed"/>
        <w:color w:val="2C778C"/>
        <w:sz w:val="20"/>
        <w:szCs w:val="20"/>
      </w:rPr>
      <w:instrText>PAGE</w:instrText>
    </w:r>
    <w:r w:rsidR="00F20268">
      <w:rPr>
        <w:rFonts w:ascii="DaxCondensed" w:eastAsia="DaxCondensed" w:hAnsi="DaxCondensed" w:cs="DaxCondensed"/>
        <w:color w:val="2C778C"/>
        <w:sz w:val="20"/>
        <w:szCs w:val="20"/>
      </w:rPr>
      <w:fldChar w:fldCharType="separate"/>
    </w:r>
    <w:r>
      <w:rPr>
        <w:rFonts w:ascii="DaxCondensed" w:eastAsia="DaxCondensed" w:hAnsi="DaxCondensed" w:cs="DaxCondensed"/>
        <w:noProof/>
        <w:color w:val="2C778C"/>
        <w:sz w:val="20"/>
        <w:szCs w:val="20"/>
      </w:rPr>
      <w:t>1</w:t>
    </w:r>
    <w:r>
      <w:rPr>
        <w:rFonts w:ascii="DaxCondensed" w:eastAsia="DaxCondensed" w:hAnsi="DaxCondensed" w:cs="DaxCondensed"/>
        <w:color w:val="2C778C"/>
        <w:sz w:val="20"/>
        <w:szCs w:val="20"/>
      </w:rPr>
      <w:fldChar w:fldCharType="end"/>
    </w:r>
  </w:p>
  <w:p w:rsidR="00B9787A" w:rsidRDefault="009776CC">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16"/>
        <w:szCs w:val="16"/>
      </w:rPr>
    </w:pPr>
    <w:r>
      <w:rPr>
        <w:rFonts w:ascii="Arial" w:eastAsia="Arial" w:hAnsi="Arial" w:cs="Arial"/>
        <w:color w:val="003333"/>
        <w:sz w:val="16"/>
        <w:szCs w:val="16"/>
      </w:rPr>
      <w:t>SCN Qd.01, Bloco E, Ed. Central Park, Salas 302/303 | CEP: 70711-903 Brasília/DF | Tel.: (61) 3326-2272 / 2297 - 3328-5632 / 5946</w:t>
    </w:r>
  </w:p>
  <w:p w:rsidR="00B9787A" w:rsidRDefault="009776CC">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20"/>
        <w:szCs w:val="20"/>
      </w:rPr>
    </w:pPr>
    <w:r>
      <w:rPr>
        <w:rFonts w:ascii="Arial" w:eastAsia="Arial" w:hAnsi="Arial" w:cs="Arial"/>
        <w:b/>
        <w:color w:val="003333"/>
        <w:sz w:val="22"/>
        <w:szCs w:val="22"/>
      </w:rPr>
      <w:t>www.caubr.org.br</w:t>
    </w:r>
    <w:r>
      <w:rPr>
        <w:rFonts w:ascii="Arial" w:eastAsia="Arial" w:hAnsi="Arial" w:cs="Arial"/>
        <w:color w:val="003333"/>
        <w:sz w:val="22"/>
        <w:szCs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tabs>
        <w:tab w:val="center" w:pos="4320"/>
        <w:tab w:val="right" w:pos="8640"/>
      </w:tabs>
      <w:spacing w:after="120" w:line="276" w:lineRule="auto"/>
      <w:ind w:left="-1701" w:right="-851"/>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rsidR="00B9787A" w:rsidRDefault="00B9787A">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p>
  <w:p w:rsidR="00B9787A" w:rsidRDefault="009776CC">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r>
      <w:rPr>
        <w:color w:val="000000"/>
        <w:sz w:val="20"/>
        <w:szCs w:val="20"/>
      </w:rPr>
      <w:tab/>
    </w:r>
    <w:r>
      <w:rPr>
        <w:color w:val="000000"/>
        <w:sz w:val="20"/>
        <w:szCs w:val="20"/>
      </w:rPr>
      <w:tab/>
    </w:r>
    <w:r>
      <w:rPr>
        <w:rFonts w:ascii="DaxCondensed" w:eastAsia="DaxCondensed" w:hAnsi="DaxCondensed" w:cs="DaxCondensed"/>
        <w:color w:val="2C778C"/>
        <w:sz w:val="20"/>
        <w:szCs w:val="20"/>
      </w:rPr>
      <w:fldChar w:fldCharType="begin"/>
    </w:r>
    <w:r>
      <w:rPr>
        <w:rFonts w:ascii="DaxCondensed" w:eastAsia="DaxCondensed" w:hAnsi="DaxCondensed" w:cs="DaxCondensed"/>
        <w:color w:val="2C778C"/>
        <w:sz w:val="20"/>
        <w:szCs w:val="20"/>
      </w:rPr>
      <w:instrText>PAGE</w:instrText>
    </w:r>
    <w:r w:rsidR="00F20268">
      <w:rPr>
        <w:rFonts w:ascii="DaxCondensed" w:eastAsia="DaxCondensed" w:hAnsi="DaxCondensed" w:cs="DaxCondensed"/>
        <w:color w:val="2C778C"/>
        <w:sz w:val="20"/>
        <w:szCs w:val="20"/>
      </w:rPr>
      <w:fldChar w:fldCharType="separate"/>
    </w:r>
    <w:r>
      <w:rPr>
        <w:rFonts w:ascii="DaxCondensed" w:eastAsia="DaxCondensed" w:hAnsi="DaxCondensed" w:cs="DaxCondensed"/>
        <w:noProof/>
        <w:color w:val="2C778C"/>
        <w:sz w:val="20"/>
        <w:szCs w:val="20"/>
      </w:rPr>
      <w:t>4</w:t>
    </w:r>
    <w:r>
      <w:rPr>
        <w:rFonts w:ascii="DaxCondensed" w:eastAsia="DaxCondensed" w:hAnsi="DaxCondensed" w:cs="DaxCondensed"/>
        <w:color w:val="2C778C"/>
        <w:sz w:val="20"/>
        <w:szCs w:val="20"/>
      </w:rPr>
      <w:fldChar w:fldCharType="end"/>
    </w:r>
  </w:p>
  <w:p w:rsidR="00B9787A" w:rsidRDefault="009776CC">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tabs>
        <w:tab w:val="center" w:pos="4320"/>
        <w:tab w:val="right" w:pos="8640"/>
      </w:tabs>
      <w:spacing w:after="120" w:line="276" w:lineRule="auto"/>
      <w:ind w:left="-1701" w:right="-851"/>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rsidR="00B9787A" w:rsidRDefault="00B9787A">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p>
  <w:p w:rsidR="00B9787A" w:rsidRDefault="009776CC">
    <w:pPr>
      <w:pBdr>
        <w:top w:val="nil"/>
        <w:left w:val="nil"/>
        <w:bottom w:val="nil"/>
        <w:right w:val="nil"/>
        <w:between w:val="nil"/>
      </w:pBdr>
      <w:tabs>
        <w:tab w:val="center" w:pos="4320"/>
        <w:tab w:val="right" w:pos="8640"/>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r>
      <w:rPr>
        <w:color w:val="000000"/>
        <w:sz w:val="20"/>
        <w:szCs w:val="20"/>
      </w:rPr>
      <w:tab/>
    </w:r>
    <w:r>
      <w:rPr>
        <w:color w:val="000000"/>
        <w:sz w:val="20"/>
        <w:szCs w:val="20"/>
      </w:rPr>
      <w:tab/>
    </w:r>
    <w:r>
      <w:rPr>
        <w:rFonts w:ascii="DaxCondensed" w:eastAsia="DaxCondensed" w:hAnsi="DaxCondensed" w:cs="DaxCondensed"/>
        <w:color w:val="2C778C"/>
        <w:sz w:val="20"/>
        <w:szCs w:val="20"/>
      </w:rPr>
      <w:fldChar w:fldCharType="begin"/>
    </w:r>
    <w:r>
      <w:rPr>
        <w:rFonts w:ascii="DaxCondensed" w:eastAsia="DaxCondensed" w:hAnsi="DaxCondensed" w:cs="DaxCondensed"/>
        <w:color w:val="2C778C"/>
        <w:sz w:val="20"/>
        <w:szCs w:val="20"/>
      </w:rPr>
      <w:instrText>PAGE</w:instrText>
    </w:r>
    <w:r w:rsidR="00F20268">
      <w:rPr>
        <w:rFonts w:ascii="DaxCondensed" w:eastAsia="DaxCondensed" w:hAnsi="DaxCondensed" w:cs="DaxCondensed"/>
        <w:color w:val="2C778C"/>
        <w:sz w:val="20"/>
        <w:szCs w:val="20"/>
      </w:rPr>
      <w:fldChar w:fldCharType="separate"/>
    </w:r>
    <w:r>
      <w:rPr>
        <w:rFonts w:ascii="DaxCondensed" w:eastAsia="DaxCondensed" w:hAnsi="DaxCondensed" w:cs="DaxCondensed"/>
        <w:noProof/>
        <w:color w:val="2C778C"/>
        <w:sz w:val="20"/>
        <w:szCs w:val="20"/>
      </w:rPr>
      <w:t>3</w:t>
    </w:r>
    <w:r>
      <w:rPr>
        <w:rFonts w:ascii="DaxCondensed" w:eastAsia="DaxCondensed" w:hAnsi="DaxCondensed" w:cs="DaxCondensed"/>
        <w:color w:val="2C778C"/>
        <w:sz w:val="20"/>
        <w:szCs w:val="20"/>
      </w:rPr>
      <w:fldChar w:fldCharType="end"/>
    </w:r>
  </w:p>
  <w:p w:rsidR="00B9787A" w:rsidRDefault="009776CC">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776CC">
      <w:r>
        <w:separator/>
      </w:r>
    </w:p>
  </w:footnote>
  <w:footnote w:type="continuationSeparator" w:id="0">
    <w:p w:rsidR="00000000" w:rsidRDefault="0097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s>
      <w:ind w:left="587"/>
      <w:rPr>
        <w:color w:val="296D7A"/>
      </w:rPr>
    </w:pPr>
    <w:r>
      <w:rPr>
        <w:color w:val="296D7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rPr>
      <w:drawing>
        <wp:anchor distT="0" distB="0" distL="0" distR="0" simplePos="0" relativeHeight="251658240" behindDoc="0" locked="0" layoutInCell="1" hidden="0" allowOverlap="1">
          <wp:simplePos x="0" y="0"/>
          <wp:positionH relativeFrom="column">
            <wp:posOffset>-1073425</wp:posOffset>
          </wp:positionH>
          <wp:positionV relativeFrom="paragraph">
            <wp:posOffset>-866690</wp:posOffset>
          </wp:positionV>
          <wp:extent cx="7560000" cy="969962"/>
          <wp:effectExtent l="0" t="0" r="0" b="0"/>
          <wp:wrapSquare wrapText="bothSides" distT="0" distB="0" distL="0" distR="0"/>
          <wp:docPr id="4"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0000" cy="969962"/>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0" locked="0" layoutInCell="1" hidden="0" allowOverlap="1">
          <wp:simplePos x="0" y="0"/>
          <wp:positionH relativeFrom="column">
            <wp:posOffset>-1080134</wp:posOffset>
          </wp:positionH>
          <wp:positionV relativeFrom="paragraph">
            <wp:posOffset>-863350</wp:posOffset>
          </wp:positionV>
          <wp:extent cx="7560000" cy="969962"/>
          <wp:effectExtent l="0" t="0" r="0" b="0"/>
          <wp:wrapSquare wrapText="bothSides" distT="0" distB="0" distL="0" distR="0"/>
          <wp:docPr id="1"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0000" cy="969962"/>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s>
      <w:ind w:left="587"/>
      <w:rPr>
        <w:color w:val="296D7A"/>
      </w:rPr>
    </w:pPr>
    <w:r>
      <w:rPr>
        <w:color w:val="296D7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rPr>
      <w:drawing>
        <wp:anchor distT="0" distB="0" distL="0" distR="0" simplePos="0" relativeHeight="251660288" behindDoc="0" locked="0" layoutInCell="1" hidden="0" allowOverlap="1">
          <wp:simplePos x="0" y="0"/>
          <wp:positionH relativeFrom="column">
            <wp:posOffset>-1080134</wp:posOffset>
          </wp:positionH>
          <wp:positionV relativeFrom="paragraph">
            <wp:posOffset>-629284</wp:posOffset>
          </wp:positionV>
          <wp:extent cx="7569835" cy="974725"/>
          <wp:effectExtent l="0" t="0" r="0" b="0"/>
          <wp:wrapSquare wrapText="bothSides" distT="0" distB="0" distL="0" distR="0"/>
          <wp:docPr id="3"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9835" cy="974725"/>
                  </a:xfrm>
                  <a:prstGeom prst="rect">
                    <a:avLst/>
                  </a:prstGeom>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A" w:rsidRDefault="009776CC">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61312" behindDoc="0" locked="0" layoutInCell="1" hidden="0" allowOverlap="1">
          <wp:simplePos x="0" y="0"/>
          <wp:positionH relativeFrom="column">
            <wp:posOffset>-1080134</wp:posOffset>
          </wp:positionH>
          <wp:positionV relativeFrom="paragraph">
            <wp:posOffset>-640714</wp:posOffset>
          </wp:positionV>
          <wp:extent cx="7560000" cy="969962"/>
          <wp:effectExtent l="0" t="0" r="0" b="0"/>
          <wp:wrapSquare wrapText="bothSides" distT="0" distB="0" distL="0" distR="0"/>
          <wp:docPr id="2"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0000" cy="969962"/>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51DD"/>
    <w:multiLevelType w:val="multilevel"/>
    <w:tmpl w:val="AF061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1571A1"/>
    <w:multiLevelType w:val="multilevel"/>
    <w:tmpl w:val="20663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7A"/>
    <w:rsid w:val="009776CC"/>
    <w:rsid w:val="00B9787A"/>
    <w:rsid w:val="00F20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8E234-51E9-4149-99C8-6CAEA0A0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3" w:type="dxa"/>
        <w:bottom w:w="0" w:type="dxa"/>
        <w:right w:w="113" w:type="dxa"/>
      </w:tblCellMar>
    </w:tblPr>
  </w:style>
  <w:style w:type="table" w:customStyle="1" w:styleId="a0">
    <w:basedOn w:val="TableNormal"/>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999</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Josiane Cristina Bernardi</cp:lastModifiedBy>
  <cp:revision>2</cp:revision>
  <dcterms:created xsi:type="dcterms:W3CDTF">2021-01-29T19:15:00Z</dcterms:created>
  <dcterms:modified xsi:type="dcterms:W3CDTF">2021-01-29T19:30:00Z</dcterms:modified>
</cp:coreProperties>
</file>