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9EB" w:rsidRDefault="006A39EB">
      <w:pPr>
        <w:spacing w:line="360" w:lineRule="auto"/>
        <w:jc w:val="center"/>
        <w:rPr>
          <w:rFonts w:asciiTheme="minorHAnsi" w:hAnsiTheme="minorHAnsi" w:cs="Arial"/>
          <w:b/>
          <w:sz w:val="22"/>
          <w:szCs w:val="22"/>
        </w:rPr>
      </w:pPr>
    </w:p>
    <w:p w:rsidR="006A39EB" w:rsidRDefault="006A39EB">
      <w:pPr>
        <w:spacing w:line="360" w:lineRule="auto"/>
        <w:jc w:val="center"/>
        <w:rPr>
          <w:rFonts w:asciiTheme="minorHAnsi" w:hAnsiTheme="minorHAnsi" w:cs="Arial"/>
          <w:b/>
          <w:sz w:val="22"/>
          <w:szCs w:val="22"/>
        </w:rPr>
      </w:pPr>
    </w:p>
    <w:p w:rsidR="006A39EB" w:rsidRDefault="00AE4E99">
      <w:pPr>
        <w:spacing w:line="360" w:lineRule="auto"/>
        <w:jc w:val="center"/>
        <w:rPr>
          <w:rFonts w:asciiTheme="minorHAnsi" w:hAnsiTheme="minorHAnsi" w:cs="Arial"/>
          <w:b/>
          <w:sz w:val="22"/>
          <w:szCs w:val="22"/>
        </w:rPr>
      </w:pPr>
      <w:r>
        <w:rPr>
          <w:rFonts w:asciiTheme="minorHAnsi" w:hAnsiTheme="minorHAnsi" w:cs="Arial"/>
          <w:b/>
          <w:sz w:val="22"/>
          <w:szCs w:val="22"/>
        </w:rPr>
        <w:t>INSTRUÇÃO NORMATIVA Nº 24, DE 23 DE FEVEREIRO DE 2017.</w:t>
      </w:r>
    </w:p>
    <w:p w:rsidR="006A39EB" w:rsidRDefault="006A39EB">
      <w:pPr>
        <w:spacing w:line="360" w:lineRule="auto"/>
        <w:ind w:firstLine="720"/>
        <w:contextualSpacing/>
        <w:jc w:val="both"/>
        <w:rPr>
          <w:rFonts w:asciiTheme="minorHAnsi" w:eastAsia="Times New Roman" w:hAnsiTheme="minorHAnsi" w:cs="Arial"/>
          <w:sz w:val="22"/>
          <w:szCs w:val="22"/>
          <w:lang w:eastAsia="pt-BR"/>
        </w:rPr>
      </w:pP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Considerando o disposto no art. 2º, §3º, da lei 11.000/2004, que autoriza os Conselhos de Fiscalização Profissional a normatizar acerca de diárias;</w:t>
      </w:r>
    </w:p>
    <w:p w:rsidR="006A39EB" w:rsidRDefault="006A39EB">
      <w:pPr>
        <w:spacing w:line="360" w:lineRule="auto"/>
        <w:ind w:firstLine="720"/>
        <w:contextualSpacing/>
        <w:jc w:val="both"/>
        <w:rPr>
          <w:rFonts w:asciiTheme="minorHAnsi" w:eastAsia="Times New Roman" w:hAnsiTheme="minorHAnsi"/>
          <w:sz w:val="22"/>
          <w:szCs w:val="22"/>
        </w:rPr>
      </w:pP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Considerando o art. 2º da Resolução nº 99/2015, que atribui aos presidentes dos CAU/UF a regulamentação de deslocamento a serviço do pessoal empregado e dos prestadores de serviço;</w:t>
      </w:r>
    </w:p>
    <w:p w:rsidR="006A39EB" w:rsidRDefault="006A39EB">
      <w:pPr>
        <w:spacing w:line="360" w:lineRule="auto"/>
        <w:ind w:firstLine="720"/>
        <w:contextualSpacing/>
        <w:jc w:val="both"/>
        <w:rPr>
          <w:rFonts w:asciiTheme="minorHAnsi" w:eastAsia="Times New Roman" w:hAnsiTheme="minorHAnsi"/>
          <w:sz w:val="22"/>
          <w:szCs w:val="22"/>
        </w:rPr>
      </w:pP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 xml:space="preserve">Considerando o Acórdão4326/2015 – Primeira Câmara do TCU, que disciplina que </w:t>
      </w:r>
      <w:r>
        <w:rPr>
          <w:rFonts w:asciiTheme="minorHAnsi" w:eastAsia="Times New Roman" w:hAnsiTheme="minorHAnsi"/>
          <w:i/>
          <w:sz w:val="22"/>
          <w:szCs w:val="22"/>
        </w:rPr>
        <w:t>“os conselhos profissionais podem normatizar a concessão de diárias, jetons e auxílios de representação de acordo com a Lei 11.000/04. No entanto, por estarem vinculados aos princípios que regem a Administração Pública, notadamente os da razoabilidade, da moralidade, do interesse público e da economicidade dos atos de gestão, os conselhos devem ter como referência os parâmetros definidos no Decreto 5.992/06 e na Portaria MPOG 505/09.”</w:t>
      </w:r>
    </w:p>
    <w:p w:rsidR="006A39EB" w:rsidRDefault="006A39EB">
      <w:pPr>
        <w:spacing w:line="360" w:lineRule="auto"/>
        <w:ind w:firstLine="720"/>
        <w:contextualSpacing/>
        <w:jc w:val="both"/>
        <w:rPr>
          <w:rFonts w:asciiTheme="minorHAnsi" w:eastAsia="Times New Roman" w:hAnsiTheme="minorHAnsi"/>
          <w:sz w:val="22"/>
          <w:szCs w:val="22"/>
        </w:rPr>
      </w:pPr>
    </w:p>
    <w:p w:rsidR="006A39EB" w:rsidRDefault="00AE4E99">
      <w:pPr>
        <w:spacing w:line="360" w:lineRule="auto"/>
        <w:ind w:firstLine="720"/>
        <w:contextualSpacing/>
        <w:jc w:val="both"/>
        <w:rPr>
          <w:rFonts w:asciiTheme="minorHAnsi" w:hAnsiTheme="minorHAnsi"/>
          <w:sz w:val="22"/>
          <w:szCs w:val="22"/>
        </w:rPr>
      </w:pPr>
      <w:r>
        <w:rPr>
          <w:rFonts w:asciiTheme="minorHAnsi" w:hAnsiTheme="minorHAnsi"/>
          <w:sz w:val="22"/>
          <w:szCs w:val="22"/>
        </w:rPr>
        <w:lastRenderedPageBreak/>
        <w:t>O Presidente do Conselho de Arquitetura e Urbanismo do Rio Grande do Sul – CAU/RS, no uso das atribuições que lhe confere o art. 35, inciso III, da Lei n° 12.378/2010;</w:t>
      </w:r>
    </w:p>
    <w:p w:rsidR="00A30F05" w:rsidRPr="00A30F05" w:rsidRDefault="00A30F05" w:rsidP="00A30F05">
      <w:pPr>
        <w:spacing w:line="360" w:lineRule="auto"/>
        <w:ind w:firstLine="720"/>
        <w:contextualSpacing/>
        <w:jc w:val="both"/>
        <w:rPr>
          <w:rFonts w:asciiTheme="minorHAnsi" w:eastAsia="Times New Roman" w:hAnsiTheme="minorHAnsi"/>
          <w:sz w:val="22"/>
          <w:szCs w:val="22"/>
        </w:rPr>
      </w:pPr>
      <w:r w:rsidRPr="0050474F">
        <w:rPr>
          <w:rFonts w:asciiTheme="minorHAnsi" w:eastAsia="Times New Roman" w:hAnsiTheme="minorHAnsi"/>
          <w:sz w:val="22"/>
          <w:szCs w:val="22"/>
        </w:rPr>
        <w:t>Considerando a auditoria de conformidade na modalidade de Fiscalização de Orientação Centralizada – FOC, do TCU, a qual foi concebida com o objetivo de avaliar, em âmbito nacional, a regularidade das despesas e outros aspectos da gestão dos conselhos de fiscalização profissional (CFP) – TC 036.608/2016-5 [Apensos: TC 023.523/2017-4, TC 023.517/2017-4], Acórdão 1925/2019).</w:t>
      </w:r>
    </w:p>
    <w:p w:rsidR="006A39EB" w:rsidRDefault="006A39EB">
      <w:pPr>
        <w:spacing w:line="360" w:lineRule="auto"/>
        <w:ind w:firstLine="720"/>
        <w:contextualSpacing/>
        <w:jc w:val="both"/>
        <w:rPr>
          <w:rFonts w:asciiTheme="minorHAnsi" w:eastAsia="Times New Roman" w:hAnsiTheme="minorHAnsi" w:cs="Arial"/>
          <w:sz w:val="22"/>
          <w:szCs w:val="22"/>
          <w:lang w:eastAsia="pt-BR"/>
        </w:rPr>
      </w:pPr>
    </w:p>
    <w:p w:rsidR="006A39EB" w:rsidRDefault="00AE4E99">
      <w:pPr>
        <w:spacing w:line="360" w:lineRule="auto"/>
        <w:ind w:firstLine="709"/>
        <w:contextualSpacing/>
        <w:rPr>
          <w:rFonts w:asciiTheme="minorHAnsi" w:eastAsia="Times New Roman" w:hAnsiTheme="minorHAnsi" w:cs="Arial"/>
          <w:b/>
          <w:sz w:val="22"/>
          <w:szCs w:val="22"/>
          <w:lang w:eastAsia="pt-BR"/>
        </w:rPr>
      </w:pPr>
      <w:r>
        <w:rPr>
          <w:rFonts w:asciiTheme="minorHAnsi" w:eastAsia="Times New Roman" w:hAnsiTheme="minorHAnsi" w:cs="Arial"/>
          <w:b/>
          <w:sz w:val="22"/>
          <w:szCs w:val="22"/>
          <w:lang w:eastAsia="pt-BR"/>
        </w:rPr>
        <w:t>RESOLVE:</w:t>
      </w: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t>CAPITULO I</w:t>
      </w: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t>DAS DISPOSIÇÕES GERAIS</w:t>
      </w:r>
    </w:p>
    <w:p w:rsidR="006A39EB" w:rsidRDefault="006A39EB">
      <w:pPr>
        <w:spacing w:line="360" w:lineRule="auto"/>
        <w:ind w:firstLine="720"/>
        <w:contextualSpacing/>
        <w:jc w:val="both"/>
        <w:rPr>
          <w:rFonts w:asciiTheme="minorHAnsi" w:eastAsia="Times New Roman" w:hAnsiTheme="minorHAnsi"/>
          <w:sz w:val="22"/>
          <w:szCs w:val="22"/>
        </w:rPr>
      </w:pPr>
    </w:p>
    <w:p w:rsidR="006A39EB" w:rsidRDefault="00AE4E99">
      <w:pPr>
        <w:pStyle w:val="PargrafodaLista"/>
        <w:numPr>
          <w:ilvl w:val="0"/>
          <w:numId w:val="1"/>
        </w:numPr>
        <w:spacing w:after="0" w:line="360" w:lineRule="auto"/>
        <w:ind w:left="0" w:firstLine="720"/>
        <w:jc w:val="both"/>
        <w:rPr>
          <w:rFonts w:asciiTheme="minorHAnsi" w:hAnsiTheme="minorHAnsi"/>
        </w:rPr>
      </w:pPr>
      <w:r>
        <w:rPr>
          <w:rFonts w:asciiTheme="minorHAnsi" w:hAnsiTheme="minorHAnsi"/>
        </w:rPr>
        <w:t>O Conselho de Arquitetura e Urbanismo do Rio Grande do Sul (CAU/RS) responderá pelas despesas relacionadas com os deslocamentos de servidores a serviço no território nacional ou no exterior, observados os termos desta Instrução Normativa, compreendendo:</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 - passagens de transporte aéreo, rodoviário, ferroviário ou aquaviário, ou a combinação destes;</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II - diárias;</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III - adicional de embarque e desembarque;</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lastRenderedPageBreak/>
        <w:t>IV - indenização por deslocamento em veículo próprio;</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V - custeio da hospedagem no local de destino.</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Parágrafo único. Consideram-se deslocamentos de servidores a serviço para os fins desta Instrução Normativa:</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 - a participação em trabalhos, reuniões, eventos e outras atividades de interesse do CAU/RS;</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II - a participação em treinamentos ou cursos promovidos ou custeados pelo CAU/RS.</w:t>
      </w:r>
    </w:p>
    <w:p w:rsidR="006A39EB" w:rsidRDefault="006A39EB">
      <w:pPr>
        <w:spacing w:line="360" w:lineRule="auto"/>
        <w:contextualSpacing/>
        <w:jc w:val="center"/>
        <w:rPr>
          <w:rFonts w:asciiTheme="minorHAnsi" w:eastAsia="Times New Roman" w:hAnsiTheme="minorHAnsi"/>
          <w:sz w:val="22"/>
          <w:szCs w:val="22"/>
        </w:rPr>
      </w:pP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t>CAPITULO II</w:t>
      </w:r>
    </w:p>
    <w:p w:rsidR="006A39EB" w:rsidRDefault="00AE4E99">
      <w:pPr>
        <w:spacing w:line="360" w:lineRule="auto"/>
        <w:contextualSpacing/>
        <w:jc w:val="center"/>
        <w:rPr>
          <w:rFonts w:asciiTheme="minorHAnsi" w:eastAsia="Times New Roman" w:hAnsiTheme="minorHAnsi"/>
          <w:sz w:val="22"/>
          <w:szCs w:val="22"/>
        </w:rPr>
      </w:pPr>
      <w:r>
        <w:rPr>
          <w:rFonts w:asciiTheme="minorHAnsi" w:eastAsia="Times New Roman" w:hAnsiTheme="minorHAnsi"/>
          <w:b/>
          <w:sz w:val="22"/>
          <w:szCs w:val="22"/>
        </w:rPr>
        <w:t>DAS PASSAGENS DE TRANSPORTE</w:t>
      </w:r>
    </w:p>
    <w:p w:rsidR="006A39EB" w:rsidRDefault="006A39EB">
      <w:pPr>
        <w:spacing w:line="360" w:lineRule="auto"/>
        <w:ind w:firstLine="720"/>
        <w:contextualSpacing/>
        <w:jc w:val="both"/>
        <w:rPr>
          <w:rFonts w:asciiTheme="minorHAnsi" w:eastAsia="Times New Roman" w:hAnsiTheme="minorHAnsi"/>
          <w:sz w:val="22"/>
          <w:szCs w:val="22"/>
        </w:rPr>
      </w:pPr>
    </w:p>
    <w:p w:rsidR="006A39EB" w:rsidRDefault="00AE4E99">
      <w:pPr>
        <w:pStyle w:val="PargrafodaLista"/>
        <w:numPr>
          <w:ilvl w:val="0"/>
          <w:numId w:val="1"/>
        </w:numPr>
        <w:spacing w:after="0" w:line="360" w:lineRule="auto"/>
        <w:ind w:left="0" w:firstLine="720"/>
        <w:jc w:val="both"/>
        <w:rPr>
          <w:rFonts w:asciiTheme="minorHAnsi" w:hAnsiTheme="minorHAnsi"/>
        </w:rPr>
      </w:pPr>
      <w:r>
        <w:rPr>
          <w:rFonts w:asciiTheme="minorHAnsi" w:hAnsiTheme="minorHAnsi"/>
        </w:rPr>
        <w:t>As passagens serão fornecidas, sempre que a locomoção não ocorra em veículo próprio ou do CAU/RS, para o transporte aéreo, rodoviário, ferroviário ou aquaviário, ou a combinação destes, com vista a atender às demandas de deslocamento do local de origem da pessoa a serviço até o local de prestação dos serviços e retorno ao local de origem ou a outro destino no território nacional.</w:t>
      </w:r>
    </w:p>
    <w:p w:rsidR="006A39EB" w:rsidRDefault="00AE4E99">
      <w:pPr>
        <w:pStyle w:val="PargrafodaLista"/>
        <w:numPr>
          <w:ilvl w:val="0"/>
          <w:numId w:val="1"/>
        </w:numPr>
        <w:spacing w:after="0" w:line="360" w:lineRule="auto"/>
        <w:ind w:left="0" w:firstLine="720"/>
        <w:jc w:val="both"/>
        <w:rPr>
          <w:rFonts w:asciiTheme="minorHAnsi" w:hAnsiTheme="minorHAnsi"/>
        </w:rPr>
      </w:pPr>
      <w:r>
        <w:rPr>
          <w:rFonts w:asciiTheme="minorHAnsi" w:hAnsiTheme="minorHAnsi"/>
        </w:rPr>
        <w:t>A escolha dos transportadores e dos horários levará em consideração:</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 - o atendimento das atividades que tenham demandado o deslocamento a serviço;</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II - os menores custos para o CAU/RS;</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trike/>
          <w:sz w:val="22"/>
          <w:szCs w:val="22"/>
        </w:rPr>
        <w:t xml:space="preserve">IV </w:t>
      </w:r>
      <w:r>
        <w:rPr>
          <w:rFonts w:asciiTheme="minorHAnsi" w:eastAsia="Times New Roman" w:hAnsiTheme="minorHAnsi"/>
          <w:sz w:val="22"/>
          <w:szCs w:val="22"/>
        </w:rPr>
        <w:t xml:space="preserve">III - evitar desgaste físico excessivo à pessoa designada, no que for possível. </w:t>
      </w:r>
      <w:r>
        <w:rPr>
          <w:rFonts w:asciiTheme="minorHAnsi" w:eastAsia="Times New Roman" w:hAnsiTheme="minorHAnsi"/>
          <w:i/>
          <w:color w:val="FF0000"/>
          <w:sz w:val="22"/>
          <w:szCs w:val="22"/>
        </w:rPr>
        <w:t>(Conforme Instrução Normativa nº 025)</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lastRenderedPageBreak/>
        <w:t>Parágrafo único. Compreende-se como fator de desgaste físico excessivo:</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 - os horários de partida antes das 9h00 (nove horas) e de chegada após as 23h00 (vinte e três horas), considerados os horários locais, salvo quando não houver disponibilidade de transportes em outros horários;</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II - os períodos de escalas e conexões que, quando somados, excedam de três horas.</w:t>
      </w:r>
    </w:p>
    <w:p w:rsidR="006A39EB" w:rsidRDefault="006A39EB">
      <w:pPr>
        <w:spacing w:line="360" w:lineRule="auto"/>
        <w:ind w:firstLine="720"/>
        <w:contextualSpacing/>
        <w:jc w:val="both"/>
        <w:rPr>
          <w:rFonts w:asciiTheme="minorHAnsi" w:eastAsia="Times New Roman" w:hAnsiTheme="minorHAnsi"/>
          <w:sz w:val="22"/>
          <w:szCs w:val="22"/>
        </w:rPr>
      </w:pP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t>CAPÍTULO III</w:t>
      </w: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t>DAS DIÁRIAS</w:t>
      </w:r>
    </w:p>
    <w:p w:rsidR="006A39EB" w:rsidRDefault="006A39EB">
      <w:pPr>
        <w:spacing w:line="360" w:lineRule="auto"/>
        <w:ind w:firstLine="720"/>
        <w:contextualSpacing/>
        <w:jc w:val="both"/>
        <w:rPr>
          <w:rFonts w:asciiTheme="minorHAnsi" w:eastAsia="Times New Roman" w:hAnsiTheme="minorHAnsi"/>
          <w:sz w:val="22"/>
          <w:szCs w:val="22"/>
        </w:rPr>
      </w:pPr>
    </w:p>
    <w:p w:rsidR="006A39EB" w:rsidRDefault="00AE4E99">
      <w:pPr>
        <w:pStyle w:val="PargrafodaLista"/>
        <w:numPr>
          <w:ilvl w:val="0"/>
          <w:numId w:val="1"/>
        </w:numPr>
        <w:spacing w:after="0" w:line="360" w:lineRule="auto"/>
        <w:ind w:left="0" w:firstLine="720"/>
        <w:jc w:val="both"/>
        <w:rPr>
          <w:rFonts w:asciiTheme="minorHAnsi" w:hAnsiTheme="minorHAnsi"/>
        </w:rPr>
      </w:pPr>
      <w:r>
        <w:rPr>
          <w:rFonts w:asciiTheme="minorHAnsi" w:hAnsiTheme="minorHAnsi"/>
        </w:rPr>
        <w:t>As diárias destinam-se a atender às despesas de hospedagem, alimentação e deslocamento secundário, sendo devida uma diária para cada dia de afastamento da sede do CAU/RS.</w:t>
      </w:r>
    </w:p>
    <w:p w:rsidR="006A39EB" w:rsidRDefault="00AE4E99">
      <w:pPr>
        <w:spacing w:line="360" w:lineRule="auto"/>
        <w:ind w:firstLine="720"/>
        <w:contextualSpacing/>
        <w:jc w:val="both"/>
        <w:rPr>
          <w:rFonts w:asciiTheme="minorHAnsi" w:eastAsia="Times New Roman" w:hAnsiTheme="minorHAnsi"/>
          <w:strike/>
          <w:sz w:val="22"/>
          <w:szCs w:val="22"/>
        </w:rPr>
      </w:pPr>
      <w:r>
        <w:rPr>
          <w:rFonts w:asciiTheme="minorHAnsi" w:eastAsia="Times New Roman" w:hAnsiTheme="minorHAnsi"/>
          <w:strike/>
          <w:sz w:val="22"/>
          <w:szCs w:val="22"/>
        </w:rPr>
        <w:t>§1º. Não serão devidas diárias quando o deslocamento ocorrer em município limítrofe com a sede do CAU/RS.</w:t>
      </w:r>
    </w:p>
    <w:p w:rsidR="0050474F" w:rsidRDefault="0050474F">
      <w:pPr>
        <w:spacing w:line="360" w:lineRule="auto"/>
        <w:ind w:firstLine="720"/>
        <w:contextualSpacing/>
        <w:jc w:val="both"/>
        <w:rPr>
          <w:rFonts w:asciiTheme="minorHAnsi" w:eastAsia="Times New Roman" w:hAnsiTheme="minorHAnsi"/>
          <w:strike/>
          <w:sz w:val="22"/>
          <w:szCs w:val="22"/>
        </w:rPr>
      </w:pPr>
    </w:p>
    <w:p w:rsidR="0050474F" w:rsidRDefault="0050474F">
      <w:pPr>
        <w:spacing w:line="360" w:lineRule="auto"/>
        <w:ind w:firstLine="720"/>
        <w:contextualSpacing/>
        <w:jc w:val="both"/>
        <w:rPr>
          <w:rFonts w:asciiTheme="minorHAnsi" w:eastAsia="Times New Roman" w:hAnsiTheme="minorHAnsi"/>
          <w:strike/>
          <w:sz w:val="22"/>
          <w:szCs w:val="22"/>
        </w:rPr>
      </w:pPr>
    </w:p>
    <w:p w:rsidR="0050474F" w:rsidRDefault="0050474F">
      <w:pPr>
        <w:spacing w:line="360" w:lineRule="auto"/>
        <w:ind w:firstLine="720"/>
        <w:contextualSpacing/>
        <w:jc w:val="both"/>
        <w:rPr>
          <w:rFonts w:asciiTheme="minorHAnsi" w:eastAsia="Times New Roman" w:hAnsiTheme="minorHAnsi"/>
          <w:sz w:val="22"/>
          <w:szCs w:val="22"/>
        </w:rPr>
      </w:pPr>
    </w:p>
    <w:p w:rsidR="006A39EB" w:rsidRPr="0050474F" w:rsidRDefault="00AE4E99">
      <w:pPr>
        <w:spacing w:line="360" w:lineRule="auto"/>
        <w:ind w:firstLine="794"/>
        <w:contextualSpacing/>
        <w:jc w:val="both"/>
        <w:rPr>
          <w:rFonts w:asciiTheme="minorHAnsi" w:eastAsia="Times New Roman" w:hAnsiTheme="minorHAnsi"/>
          <w:i/>
          <w:iCs/>
          <w:color w:val="C9211E"/>
          <w:sz w:val="22"/>
          <w:szCs w:val="22"/>
        </w:rPr>
      </w:pPr>
      <w:r w:rsidRPr="0050474F">
        <w:rPr>
          <w:rFonts w:asciiTheme="minorHAnsi" w:eastAsia="Times New Roman" w:hAnsiTheme="minorHAnsi"/>
          <w:sz w:val="22"/>
          <w:szCs w:val="22"/>
        </w:rPr>
        <w:t xml:space="preserve">§1º. </w:t>
      </w:r>
      <w:r w:rsidR="00420374" w:rsidRPr="0050474F">
        <w:rPr>
          <w:rFonts w:asciiTheme="minorHAnsi" w:eastAsia="Times New Roman" w:hAnsiTheme="minorHAnsi"/>
          <w:sz w:val="22"/>
          <w:szCs w:val="22"/>
        </w:rPr>
        <w:t xml:space="preserve">Não serão devidas diárias </w:t>
      </w:r>
      <w:r w:rsidR="00A30F05" w:rsidRPr="0050474F">
        <w:rPr>
          <w:rFonts w:asciiTheme="minorHAnsi" w:eastAsia="Times New Roman" w:hAnsiTheme="minorHAnsi"/>
          <w:sz w:val="22"/>
          <w:szCs w:val="22"/>
        </w:rPr>
        <w:t xml:space="preserve">ou meia-diárias </w:t>
      </w:r>
      <w:r w:rsidR="00420374" w:rsidRPr="0050474F">
        <w:rPr>
          <w:rFonts w:asciiTheme="minorHAnsi" w:eastAsia="Times New Roman" w:hAnsiTheme="minorHAnsi"/>
          <w:sz w:val="22"/>
          <w:szCs w:val="22"/>
        </w:rPr>
        <w:t>quando o deslocamento ocorrer na Região Metropolitana de Porto Alegre, município sede do CAU/RS, ou, quando</w:t>
      </w:r>
      <w:r w:rsidR="0050474F">
        <w:rPr>
          <w:rFonts w:asciiTheme="minorHAnsi" w:eastAsia="Times New Roman" w:hAnsiTheme="minorHAnsi"/>
          <w:sz w:val="22"/>
          <w:szCs w:val="22"/>
        </w:rPr>
        <w:t xml:space="preserve"> originado em município onde o </w:t>
      </w:r>
      <w:r w:rsidR="00420374" w:rsidRPr="0050474F">
        <w:rPr>
          <w:rFonts w:asciiTheme="minorHAnsi" w:eastAsia="Times New Roman" w:hAnsiTheme="minorHAnsi"/>
          <w:sz w:val="22"/>
          <w:szCs w:val="22"/>
        </w:rPr>
        <w:t>CAU/RS possua Escritório Regional, ocorra para município</w:t>
      </w:r>
      <w:r w:rsidR="00A30F05" w:rsidRPr="0050474F">
        <w:rPr>
          <w:rFonts w:asciiTheme="minorHAnsi" w:eastAsia="Times New Roman" w:hAnsiTheme="minorHAnsi"/>
          <w:sz w:val="22"/>
          <w:szCs w:val="22"/>
        </w:rPr>
        <w:t>s</w:t>
      </w:r>
      <w:r w:rsidR="00420374" w:rsidRPr="0050474F">
        <w:rPr>
          <w:rFonts w:asciiTheme="minorHAnsi" w:eastAsia="Times New Roman" w:hAnsiTheme="minorHAnsi"/>
          <w:sz w:val="22"/>
          <w:szCs w:val="22"/>
        </w:rPr>
        <w:t xml:space="preserve"> limítrofe</w:t>
      </w:r>
      <w:r w:rsidR="00A30F05" w:rsidRPr="0050474F">
        <w:rPr>
          <w:rFonts w:asciiTheme="minorHAnsi" w:eastAsia="Times New Roman" w:hAnsiTheme="minorHAnsi"/>
          <w:sz w:val="22"/>
          <w:szCs w:val="22"/>
        </w:rPr>
        <w:t>s até 80 Km da sede</w:t>
      </w:r>
      <w:r w:rsidRPr="0050474F">
        <w:rPr>
          <w:rFonts w:asciiTheme="minorHAnsi" w:eastAsia="Times New Roman" w:hAnsiTheme="minorHAnsi"/>
          <w:sz w:val="22"/>
          <w:szCs w:val="22"/>
        </w:rPr>
        <w:t xml:space="preserve">. </w:t>
      </w:r>
      <w:r w:rsidRPr="0050474F">
        <w:rPr>
          <w:rFonts w:asciiTheme="minorHAnsi" w:eastAsia="Times New Roman" w:hAnsiTheme="minorHAnsi"/>
          <w:i/>
          <w:iCs/>
          <w:color w:val="C9211E"/>
          <w:sz w:val="22"/>
          <w:szCs w:val="22"/>
        </w:rPr>
        <w:t xml:space="preserve">(Redação alterada pela Portaria Normativa nº </w:t>
      </w:r>
      <w:r w:rsidR="0050474F" w:rsidRPr="0050474F">
        <w:rPr>
          <w:rFonts w:asciiTheme="minorHAnsi" w:eastAsia="Times New Roman" w:hAnsiTheme="minorHAnsi"/>
          <w:i/>
          <w:iCs/>
          <w:color w:val="C9211E"/>
          <w:sz w:val="22"/>
          <w:szCs w:val="22"/>
        </w:rPr>
        <w:t>013</w:t>
      </w:r>
      <w:r w:rsidRPr="0050474F">
        <w:rPr>
          <w:rFonts w:asciiTheme="minorHAnsi" w:eastAsia="Times New Roman" w:hAnsiTheme="minorHAnsi"/>
          <w:i/>
          <w:iCs/>
          <w:color w:val="C9211E"/>
          <w:sz w:val="22"/>
          <w:szCs w:val="22"/>
        </w:rPr>
        <w:t>-2020)</w:t>
      </w:r>
    </w:p>
    <w:p w:rsidR="00A30F05" w:rsidRPr="0050474F" w:rsidRDefault="00A30F05" w:rsidP="00A30F05">
      <w:pPr>
        <w:pStyle w:val="PargrafodaLista"/>
        <w:numPr>
          <w:ilvl w:val="0"/>
          <w:numId w:val="7"/>
        </w:numPr>
        <w:spacing w:line="360" w:lineRule="auto"/>
        <w:ind w:left="0" w:firstLine="851"/>
        <w:jc w:val="both"/>
        <w:rPr>
          <w:rFonts w:asciiTheme="minorHAnsi" w:hAnsiTheme="minorHAnsi"/>
        </w:rPr>
      </w:pPr>
      <w:r w:rsidRPr="0050474F">
        <w:rPr>
          <w:rFonts w:asciiTheme="minorHAnsi" w:hAnsiTheme="minorHAnsi"/>
          <w:lang w:eastAsia="en-US"/>
        </w:rPr>
        <w:lastRenderedPageBreak/>
        <w:t>Região metropolitana é aquela que foi regulamentada pela Assembleia Legislativa nos respectivos Estados da Federação ou pela Câmara Legislativa do Distrito Federal, em ato próprio, contendo seus municípios integrantes, na forma do art. 25, §3º da Constituição Federal de 1988.</w:t>
      </w:r>
    </w:p>
    <w:p w:rsidR="006A39EB" w:rsidRPr="00A30F05" w:rsidRDefault="0050474F" w:rsidP="00A30F05">
      <w:pPr>
        <w:spacing w:line="360" w:lineRule="auto"/>
        <w:ind w:firstLine="720"/>
        <w:jc w:val="both"/>
        <w:rPr>
          <w:rFonts w:asciiTheme="minorHAnsi" w:hAnsiTheme="minorHAnsi"/>
        </w:rPr>
      </w:pPr>
      <w:r>
        <w:rPr>
          <w:rFonts w:asciiTheme="minorHAnsi" w:hAnsiTheme="minorHAnsi"/>
        </w:rPr>
        <w:t>90</w:t>
      </w:r>
      <w:r w:rsidR="00AE4E99" w:rsidRPr="00A30F05">
        <w:rPr>
          <w:rFonts w:asciiTheme="minorHAnsi" w:hAnsiTheme="minorHAnsi"/>
        </w:rPr>
        <w:t>§2º. Na concessão de diárias deve ser realizado o desconto proporcional de vale-alimentação e de vale-transporte.</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§3º. O servidor fará jus somente à metade do valor da diária nos seguintes casos:</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 – quando o afastamento não exigir pernoite fora da sede;</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II- no dia do retorno à sede de serviço;</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III – quando o CAU/RS custear, por meio diverso, as despesas de hospedagem;</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trike/>
          <w:sz w:val="22"/>
          <w:szCs w:val="22"/>
        </w:rPr>
        <w:t>§4º. É indevido o pagamento de diárias a servidores deslocados da sede, para a realização de atividades em caráter habitual, por longos períodos, de forma ininterrupta.</w:t>
      </w:r>
      <w:r>
        <w:rPr>
          <w:rFonts w:asciiTheme="minorHAnsi" w:eastAsia="Times New Roman" w:hAnsiTheme="minorHAnsi"/>
          <w:sz w:val="22"/>
          <w:szCs w:val="22"/>
        </w:rPr>
        <w:t xml:space="preserve"> </w:t>
      </w:r>
    </w:p>
    <w:p w:rsidR="006A39EB" w:rsidRDefault="00AE4E99">
      <w:pPr>
        <w:spacing w:line="360" w:lineRule="auto"/>
        <w:ind w:firstLine="720"/>
        <w:contextualSpacing/>
        <w:jc w:val="both"/>
        <w:rPr>
          <w:rFonts w:asciiTheme="minorHAnsi" w:eastAsia="Times New Roman" w:hAnsiTheme="minorHAnsi"/>
          <w:i/>
          <w:sz w:val="22"/>
          <w:szCs w:val="22"/>
        </w:rPr>
      </w:pPr>
      <w:r>
        <w:rPr>
          <w:rFonts w:asciiTheme="minorHAnsi" w:eastAsia="Times New Roman" w:hAnsiTheme="minorHAnsi"/>
          <w:sz w:val="22"/>
          <w:szCs w:val="22"/>
        </w:rPr>
        <w:t xml:space="preserve">§4º. É indevido o pagamento de diárias a servidores deslocados da sede, para a realização de atividades em caráter habitual, por longos períodos, de forma ininterrupta, nos casos em que o deslocamento da sede constituir exigência permanente do cargo.  </w:t>
      </w:r>
      <w:r>
        <w:rPr>
          <w:rFonts w:asciiTheme="minorHAnsi" w:eastAsia="Times New Roman" w:hAnsiTheme="minorHAnsi"/>
          <w:i/>
          <w:color w:val="FF0000"/>
          <w:sz w:val="22"/>
          <w:szCs w:val="22"/>
        </w:rPr>
        <w:t>(Redação alterada pela Instrução Normativa nº 025)</w:t>
      </w:r>
    </w:p>
    <w:p w:rsidR="006A39EB" w:rsidRDefault="00AE4E99">
      <w:pPr>
        <w:spacing w:line="360" w:lineRule="auto"/>
        <w:ind w:firstLine="720"/>
        <w:contextualSpacing/>
        <w:jc w:val="both"/>
        <w:rPr>
          <w:rFonts w:asciiTheme="minorHAnsi" w:hAnsiTheme="minorHAnsi"/>
          <w:sz w:val="22"/>
          <w:szCs w:val="22"/>
        </w:rPr>
      </w:pPr>
      <w:r>
        <w:rPr>
          <w:rFonts w:asciiTheme="minorHAnsi" w:eastAsia="Times New Roman" w:hAnsiTheme="minorHAnsi"/>
          <w:sz w:val="22"/>
          <w:szCs w:val="22"/>
        </w:rPr>
        <w:t>§5º. É vedado o pagamento de diárias aos funcionários que receberem gratificação de atividade externa nos casos em que o deslocamento se dê nas funções típicas do cargo.</w:t>
      </w:r>
    </w:p>
    <w:p w:rsidR="006A39EB" w:rsidRDefault="00AE4E99">
      <w:pPr>
        <w:pStyle w:val="PargrafodaLista"/>
        <w:numPr>
          <w:ilvl w:val="0"/>
          <w:numId w:val="1"/>
        </w:numPr>
        <w:spacing w:after="0" w:line="360" w:lineRule="auto"/>
        <w:ind w:left="0" w:firstLine="720"/>
        <w:jc w:val="both"/>
        <w:rPr>
          <w:rFonts w:asciiTheme="minorHAnsi" w:hAnsiTheme="minorHAnsi"/>
        </w:rPr>
      </w:pPr>
      <w:r>
        <w:rPr>
          <w:rFonts w:asciiTheme="minorHAnsi" w:hAnsiTheme="minorHAnsi"/>
        </w:rPr>
        <w:lastRenderedPageBreak/>
        <w:t>Somente mediante justificativa o CAU/RS poderá conceder diárias que excedam a cinquenta por cento do salário base mensal, sob pena de responsabilização da chefia que autorizou o pagamento.</w:t>
      </w:r>
    </w:p>
    <w:p w:rsidR="006A39EB" w:rsidRDefault="00AE4E99">
      <w:pPr>
        <w:spacing w:line="360" w:lineRule="auto"/>
        <w:ind w:firstLine="720"/>
        <w:contextualSpacing/>
        <w:jc w:val="both"/>
        <w:rPr>
          <w:rFonts w:asciiTheme="minorHAnsi" w:eastAsia="Times New Roman" w:hAnsiTheme="minorHAnsi"/>
          <w:color w:val="FF0000"/>
          <w:sz w:val="22"/>
          <w:szCs w:val="22"/>
        </w:rPr>
      </w:pPr>
      <w:r>
        <w:rPr>
          <w:rFonts w:asciiTheme="minorHAnsi" w:hAnsiTheme="minorHAnsi"/>
          <w:strike/>
          <w:sz w:val="22"/>
          <w:szCs w:val="22"/>
        </w:rPr>
        <w:t>Parágrafo único. As diárias que excederem o limite estipulado no caput serão consideradas de natureza salarial, nos termos do art. 457, §2º da Consolidação das Leis do Trabalho (CLT).</w:t>
      </w:r>
      <w:r>
        <w:rPr>
          <w:rFonts w:asciiTheme="minorHAnsi" w:hAnsiTheme="minorHAnsi"/>
          <w:sz w:val="22"/>
          <w:szCs w:val="22"/>
        </w:rPr>
        <w:t xml:space="preserve"> </w:t>
      </w:r>
    </w:p>
    <w:p w:rsidR="00A30F05" w:rsidRPr="0050474F" w:rsidRDefault="00AE4E99" w:rsidP="00A30F05">
      <w:pPr>
        <w:spacing w:line="360" w:lineRule="auto"/>
        <w:ind w:firstLine="794"/>
        <w:contextualSpacing/>
        <w:jc w:val="both"/>
        <w:rPr>
          <w:rFonts w:asciiTheme="minorHAnsi" w:eastAsia="Times New Roman" w:hAnsiTheme="minorHAnsi"/>
          <w:i/>
          <w:iCs/>
          <w:color w:val="C9211E"/>
          <w:sz w:val="22"/>
          <w:szCs w:val="22"/>
        </w:rPr>
      </w:pPr>
      <w:r w:rsidRPr="0050474F">
        <w:rPr>
          <w:rFonts w:asciiTheme="minorHAnsi" w:hAnsiTheme="minorHAnsi"/>
          <w:sz w:val="22"/>
          <w:szCs w:val="22"/>
        </w:rPr>
        <w:t xml:space="preserve">Parágrafo único. As diárias </w:t>
      </w:r>
      <w:r w:rsidR="00A30F05" w:rsidRPr="0050474F">
        <w:rPr>
          <w:rFonts w:asciiTheme="minorHAnsi" w:hAnsiTheme="minorHAnsi"/>
          <w:sz w:val="22"/>
          <w:szCs w:val="22"/>
        </w:rPr>
        <w:t>não serão computadas como salário, em respeito à Lei nº 13.467 de 2017.</w:t>
      </w:r>
      <w:r w:rsidR="00A30F05" w:rsidRPr="0050474F">
        <w:rPr>
          <w:rFonts w:asciiTheme="minorHAnsi" w:eastAsia="Times New Roman" w:hAnsiTheme="minorHAnsi"/>
          <w:i/>
          <w:iCs/>
          <w:color w:val="C9211E"/>
          <w:sz w:val="22"/>
          <w:szCs w:val="22"/>
        </w:rPr>
        <w:t xml:space="preserve"> (Redação alterada pela Portaria Normativa nº </w:t>
      </w:r>
      <w:r w:rsidR="0050474F" w:rsidRPr="0050474F">
        <w:rPr>
          <w:rFonts w:asciiTheme="minorHAnsi" w:eastAsia="Times New Roman" w:hAnsiTheme="minorHAnsi"/>
          <w:i/>
          <w:iCs/>
          <w:color w:val="C9211E"/>
          <w:sz w:val="22"/>
          <w:szCs w:val="22"/>
        </w:rPr>
        <w:t>013</w:t>
      </w:r>
      <w:r w:rsidR="00A30F05" w:rsidRPr="0050474F">
        <w:rPr>
          <w:rFonts w:asciiTheme="minorHAnsi" w:eastAsia="Times New Roman" w:hAnsiTheme="minorHAnsi"/>
          <w:i/>
          <w:iCs/>
          <w:color w:val="C9211E"/>
          <w:sz w:val="22"/>
          <w:szCs w:val="22"/>
        </w:rPr>
        <w:t>-2020)</w:t>
      </w:r>
    </w:p>
    <w:p w:rsidR="006A39EB" w:rsidRDefault="00AE4E99">
      <w:pPr>
        <w:pStyle w:val="PargrafodaLista"/>
        <w:numPr>
          <w:ilvl w:val="0"/>
          <w:numId w:val="1"/>
        </w:numPr>
        <w:spacing w:after="0" w:line="360" w:lineRule="auto"/>
        <w:ind w:left="0" w:firstLine="720"/>
        <w:jc w:val="both"/>
        <w:rPr>
          <w:rFonts w:asciiTheme="minorHAnsi" w:hAnsiTheme="minorHAnsi"/>
        </w:rPr>
      </w:pPr>
      <w:r>
        <w:rPr>
          <w:rFonts w:asciiTheme="minorHAnsi" w:hAnsiTheme="minorHAnsi"/>
        </w:rPr>
        <w:t>O adiantamento do valor das diárias será creditado em conta corrente de titularidade da pessoa designada até um dia antes do início do deslocamento.</w:t>
      </w:r>
    </w:p>
    <w:p w:rsidR="0050474F" w:rsidRDefault="0050474F" w:rsidP="0050474F">
      <w:pPr>
        <w:pStyle w:val="PargrafodaLista"/>
        <w:spacing w:after="0" w:line="360" w:lineRule="auto"/>
        <w:jc w:val="both"/>
        <w:rPr>
          <w:rFonts w:asciiTheme="minorHAnsi" w:hAnsiTheme="minorHAnsi"/>
        </w:rPr>
      </w:pPr>
    </w:p>
    <w:p w:rsidR="0050474F" w:rsidRDefault="0050474F" w:rsidP="0050474F">
      <w:pPr>
        <w:pStyle w:val="PargrafodaLista"/>
        <w:spacing w:after="0" w:line="360" w:lineRule="auto"/>
        <w:jc w:val="both"/>
        <w:rPr>
          <w:rFonts w:asciiTheme="minorHAnsi" w:hAnsiTheme="minorHAnsi"/>
        </w:rPr>
      </w:pPr>
    </w:p>
    <w:p w:rsidR="0050474F" w:rsidRDefault="0050474F" w:rsidP="0050474F">
      <w:pPr>
        <w:pStyle w:val="PargrafodaLista"/>
        <w:spacing w:after="0" w:line="360" w:lineRule="auto"/>
        <w:jc w:val="both"/>
        <w:rPr>
          <w:rFonts w:asciiTheme="minorHAnsi" w:hAnsiTheme="minorHAnsi"/>
        </w:rPr>
      </w:pPr>
    </w:p>
    <w:p w:rsidR="006A39EB" w:rsidRDefault="00AE4E99">
      <w:pPr>
        <w:pStyle w:val="PargrafodaLista"/>
        <w:numPr>
          <w:ilvl w:val="0"/>
          <w:numId w:val="1"/>
        </w:numPr>
        <w:spacing w:after="0" w:line="360" w:lineRule="auto"/>
        <w:ind w:left="0" w:firstLine="720"/>
        <w:jc w:val="both"/>
        <w:rPr>
          <w:rFonts w:asciiTheme="minorHAnsi" w:hAnsiTheme="minorHAnsi"/>
        </w:rPr>
      </w:pPr>
      <w:r>
        <w:rPr>
          <w:rFonts w:asciiTheme="minorHAnsi" w:hAnsiTheme="minorHAnsi"/>
        </w:rPr>
        <w:t>Os valores das diárias são os constantes no Anexo I a esta Instrução Normativa, os quais serão anualmente revistos pela Comissão de Planejamento e Finanças e homologados pelo Plenário.</w:t>
      </w:r>
    </w:p>
    <w:p w:rsidR="006A39EB" w:rsidRDefault="006A39EB">
      <w:pPr>
        <w:spacing w:line="360" w:lineRule="auto"/>
        <w:ind w:firstLine="720"/>
        <w:contextualSpacing/>
        <w:jc w:val="both"/>
        <w:rPr>
          <w:rFonts w:asciiTheme="minorHAnsi" w:eastAsia="Times New Roman" w:hAnsiTheme="minorHAnsi"/>
          <w:sz w:val="22"/>
          <w:szCs w:val="22"/>
        </w:rPr>
      </w:pP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t>CAPÍTULO IV</w:t>
      </w: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t>DO ADICIONAL DE EMBARQUE E DESEMBARQUE</w:t>
      </w:r>
    </w:p>
    <w:p w:rsidR="006A39EB" w:rsidRDefault="006A39EB">
      <w:pPr>
        <w:spacing w:line="360" w:lineRule="auto"/>
        <w:contextualSpacing/>
        <w:jc w:val="center"/>
        <w:rPr>
          <w:rFonts w:asciiTheme="minorHAnsi" w:eastAsia="Times New Roman" w:hAnsiTheme="minorHAnsi"/>
          <w:sz w:val="22"/>
          <w:szCs w:val="22"/>
        </w:rPr>
      </w:pPr>
    </w:p>
    <w:p w:rsidR="006A39EB" w:rsidRDefault="00AE4E99">
      <w:pPr>
        <w:pStyle w:val="PargrafodaLista"/>
        <w:spacing w:after="0" w:line="360" w:lineRule="auto"/>
        <w:ind w:left="0" w:firstLine="720"/>
        <w:jc w:val="both"/>
        <w:rPr>
          <w:rFonts w:asciiTheme="minorHAnsi" w:hAnsiTheme="minorHAnsi"/>
        </w:rPr>
      </w:pPr>
      <w:r>
        <w:rPr>
          <w:rFonts w:asciiTheme="minorHAnsi" w:hAnsiTheme="minorHAnsi"/>
          <w:strike/>
        </w:rPr>
        <w:lastRenderedPageBreak/>
        <w:t>Art. 8º. Sem prejuízo da concessão de diárias, às pessoas a serviço do CAU/RS será concedido um adicional no valor fixado no Anexo II, destinado a cobrir despesas de deslocamento até o local de embarque, e do desembarque até o local de trabalho ou de hospedagem e vice-versa.</w:t>
      </w:r>
      <w:r>
        <w:rPr>
          <w:rFonts w:asciiTheme="minorHAnsi" w:hAnsiTheme="minorHAnsi"/>
        </w:rPr>
        <w:t xml:space="preserve"> </w:t>
      </w:r>
    </w:p>
    <w:p w:rsidR="006A39EB" w:rsidRDefault="00AE4E99">
      <w:pPr>
        <w:pStyle w:val="PargrafodaLista"/>
        <w:numPr>
          <w:ilvl w:val="0"/>
          <w:numId w:val="1"/>
        </w:numPr>
        <w:spacing w:after="0" w:line="360" w:lineRule="auto"/>
        <w:ind w:left="0" w:firstLine="720"/>
        <w:jc w:val="both"/>
        <w:rPr>
          <w:rFonts w:asciiTheme="minorHAnsi" w:hAnsiTheme="minorHAnsi"/>
        </w:rPr>
      </w:pPr>
      <w:r>
        <w:rPr>
          <w:rFonts w:asciiTheme="minorHAnsi" w:hAnsiTheme="minorHAnsi"/>
        </w:rPr>
        <w:t xml:space="preserve">Sem prejuízo da concessão de diárias, às pessoas a serviço do CAU/RS será concedido um adicional no valor fixado no Anexo II, por localidade de destino, destinado a cobrir despesas de deslocamento até o local de embarque, e do desembarque até o local de trabalho ou de hospedagem e vice-versa. </w:t>
      </w:r>
      <w:r>
        <w:rPr>
          <w:rFonts w:asciiTheme="minorHAnsi" w:hAnsiTheme="minorHAnsi"/>
          <w:i/>
          <w:color w:val="FF0000"/>
        </w:rPr>
        <w:t>(Redação dada pela Instrução Normativa nº 025)</w:t>
      </w:r>
    </w:p>
    <w:p w:rsidR="006A39EB" w:rsidRDefault="00AE4E99">
      <w:pPr>
        <w:pStyle w:val="PargrafodaLista"/>
        <w:spacing w:after="0" w:line="360" w:lineRule="auto"/>
        <w:ind w:left="0" w:firstLine="720"/>
        <w:jc w:val="both"/>
        <w:rPr>
          <w:rFonts w:asciiTheme="minorHAnsi" w:hAnsiTheme="minorHAnsi"/>
        </w:rPr>
      </w:pPr>
      <w:r>
        <w:rPr>
          <w:rFonts w:asciiTheme="minorHAnsi" w:hAnsiTheme="minorHAnsi"/>
        </w:rPr>
        <w:t>Parágrafo único. O empregado não fará jus ao adicional referido no caput nos deslocamentos realizados em veículo próprio ou do CAU/RS</w:t>
      </w:r>
    </w:p>
    <w:p w:rsidR="006A39EB" w:rsidRDefault="00AE4E99">
      <w:pPr>
        <w:pStyle w:val="PargrafodaLista"/>
        <w:numPr>
          <w:ilvl w:val="0"/>
          <w:numId w:val="1"/>
        </w:numPr>
        <w:spacing w:after="0" w:line="360" w:lineRule="auto"/>
        <w:ind w:left="0" w:firstLine="720"/>
        <w:jc w:val="both"/>
        <w:rPr>
          <w:rFonts w:asciiTheme="minorHAnsi" w:hAnsiTheme="minorHAnsi"/>
        </w:rPr>
      </w:pPr>
      <w:r>
        <w:rPr>
          <w:rFonts w:asciiTheme="minorHAnsi" w:hAnsiTheme="minorHAnsi"/>
        </w:rPr>
        <w:t>Para as demais locomoções no território de destino será utilizado o valor recebido a título de diária.</w:t>
      </w:r>
    </w:p>
    <w:p w:rsidR="006A39EB" w:rsidRDefault="006A39EB">
      <w:pPr>
        <w:pStyle w:val="PargrafodaLista"/>
        <w:spacing w:after="0" w:line="360" w:lineRule="auto"/>
        <w:jc w:val="both"/>
        <w:rPr>
          <w:rFonts w:asciiTheme="minorHAnsi" w:hAnsiTheme="minorHAnsi"/>
        </w:rPr>
      </w:pPr>
    </w:p>
    <w:p w:rsidR="006A39EB" w:rsidRDefault="00AE4E99">
      <w:pPr>
        <w:spacing w:line="360" w:lineRule="auto"/>
        <w:jc w:val="center"/>
        <w:rPr>
          <w:rFonts w:asciiTheme="minorHAnsi" w:hAnsiTheme="minorHAnsi"/>
          <w:b/>
          <w:sz w:val="22"/>
          <w:szCs w:val="22"/>
        </w:rPr>
      </w:pPr>
      <w:r>
        <w:rPr>
          <w:rFonts w:asciiTheme="minorHAnsi" w:hAnsiTheme="minorHAnsi"/>
          <w:b/>
          <w:sz w:val="22"/>
          <w:szCs w:val="22"/>
        </w:rPr>
        <w:t>CAPÍTULO V</w:t>
      </w:r>
    </w:p>
    <w:p w:rsidR="006A39EB" w:rsidRDefault="00AE4E99">
      <w:pPr>
        <w:spacing w:line="360" w:lineRule="auto"/>
        <w:jc w:val="center"/>
        <w:rPr>
          <w:rFonts w:asciiTheme="minorHAnsi" w:hAnsiTheme="minorHAnsi"/>
          <w:b/>
          <w:sz w:val="22"/>
          <w:szCs w:val="22"/>
        </w:rPr>
      </w:pPr>
      <w:r>
        <w:rPr>
          <w:rFonts w:asciiTheme="minorHAnsi" w:hAnsiTheme="minorHAnsi"/>
          <w:b/>
          <w:sz w:val="22"/>
          <w:szCs w:val="22"/>
        </w:rPr>
        <w:t xml:space="preserve">DO REEMBOLSO POR DESLOCAMENTO EM VEÍCULO PRÓPRIO </w:t>
      </w:r>
    </w:p>
    <w:p w:rsidR="006A39EB" w:rsidRDefault="006A39EB">
      <w:pPr>
        <w:spacing w:line="360" w:lineRule="auto"/>
        <w:jc w:val="center"/>
        <w:rPr>
          <w:rFonts w:asciiTheme="minorHAnsi" w:hAnsiTheme="minorHAnsi"/>
          <w:sz w:val="22"/>
          <w:szCs w:val="22"/>
        </w:rPr>
      </w:pP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Em substituição ao fornecimento de passagens aéreas, rodoviárias, ferroviárias ou aquaviárias previstas no art. 2° antecedente, e quando houver solicitação nesse sentido formalizada pela pessoa designada para o deslocamento a serviço, poderá, excepcionalmente e desde que autorizado pela administração, ser concedido reembolso por deslocamento em veículo próprio, no valor fixado no anexo III, desde que presente uma das seguintes situações:</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lastRenderedPageBreak/>
        <w:t>I - quando o trecho de deslocamento não for servido por transporte aéreo, rodoviário, ferroviário ou aquaviário regular;</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II - quando, mesmo no caso de o trecho de deslocamento ser servido por transporte aéreo, rodoviário, ferroviário ou aquaviário regular, o deslocamento em veículo próprio possa ser feito em tempo razoavelmente inferior àquele que seria despendido nos transportes regulares.</w:t>
      </w:r>
    </w:p>
    <w:p w:rsidR="0050474F" w:rsidRDefault="0050474F">
      <w:pPr>
        <w:spacing w:line="360" w:lineRule="auto"/>
        <w:ind w:firstLine="720"/>
        <w:contextualSpacing/>
        <w:jc w:val="both"/>
        <w:rPr>
          <w:rFonts w:asciiTheme="minorHAnsi" w:eastAsia="Times New Roman" w:hAnsiTheme="minorHAnsi"/>
          <w:sz w:val="22"/>
          <w:szCs w:val="22"/>
        </w:rPr>
      </w:pPr>
    </w:p>
    <w:p w:rsidR="0050474F" w:rsidRDefault="0050474F">
      <w:pPr>
        <w:spacing w:line="360" w:lineRule="auto"/>
        <w:ind w:firstLine="720"/>
        <w:contextualSpacing/>
        <w:jc w:val="both"/>
        <w:rPr>
          <w:rFonts w:asciiTheme="minorHAnsi" w:eastAsia="Times New Roman" w:hAnsiTheme="minorHAnsi"/>
          <w:sz w:val="22"/>
          <w:szCs w:val="22"/>
        </w:rPr>
      </w:pPr>
    </w:p>
    <w:p w:rsidR="0050474F" w:rsidRDefault="0050474F">
      <w:pPr>
        <w:spacing w:line="360" w:lineRule="auto"/>
        <w:ind w:firstLine="720"/>
        <w:contextualSpacing/>
        <w:jc w:val="both"/>
        <w:rPr>
          <w:rFonts w:asciiTheme="minorHAnsi" w:eastAsia="Times New Roman" w:hAnsiTheme="minorHAnsi"/>
          <w:sz w:val="22"/>
          <w:szCs w:val="22"/>
        </w:rPr>
      </w:pPr>
    </w:p>
    <w:p w:rsidR="006A39EB" w:rsidRDefault="00AE4E99">
      <w:pPr>
        <w:spacing w:line="360" w:lineRule="auto"/>
        <w:ind w:firstLine="720"/>
        <w:contextualSpacing/>
        <w:jc w:val="both"/>
        <w:rPr>
          <w:rFonts w:asciiTheme="minorHAnsi" w:hAnsiTheme="minorHAnsi"/>
          <w:sz w:val="22"/>
          <w:szCs w:val="22"/>
        </w:rPr>
      </w:pPr>
      <w:r>
        <w:rPr>
          <w:rFonts w:asciiTheme="minorHAnsi" w:hAnsiTheme="minorHAnsi"/>
          <w:sz w:val="22"/>
          <w:szCs w:val="22"/>
        </w:rPr>
        <w:t>§1º. No caso do inciso II deste artigo, o reembolso respeitará o limite previsto no anexo III ou aos valores equivalentes aos custos dos transportes regulares disponíveis no momento do deslocamento a serviço, prevalecendo o que for menor.</w:t>
      </w:r>
    </w:p>
    <w:p w:rsidR="006A39EB" w:rsidRDefault="00AE4E99">
      <w:pPr>
        <w:spacing w:line="360" w:lineRule="auto"/>
        <w:ind w:firstLine="720"/>
        <w:contextualSpacing/>
        <w:jc w:val="both"/>
        <w:rPr>
          <w:rFonts w:asciiTheme="minorHAnsi" w:hAnsiTheme="minorHAnsi"/>
          <w:sz w:val="22"/>
          <w:szCs w:val="22"/>
        </w:rPr>
      </w:pPr>
      <w:r>
        <w:rPr>
          <w:rFonts w:asciiTheme="minorHAnsi" w:hAnsiTheme="minorHAnsi"/>
          <w:sz w:val="22"/>
          <w:szCs w:val="22"/>
        </w:rPr>
        <w:t>§2º O valor do transporte regular a ser utilizado como parâmetro no parágrafo anterior obedecerá a seguinte ordem:</w:t>
      </w:r>
    </w:p>
    <w:p w:rsidR="006A39EB" w:rsidRDefault="00AE4E99">
      <w:pPr>
        <w:pStyle w:val="PargrafodaLista"/>
        <w:numPr>
          <w:ilvl w:val="0"/>
          <w:numId w:val="3"/>
        </w:numPr>
        <w:spacing w:line="360" w:lineRule="auto"/>
        <w:jc w:val="both"/>
        <w:rPr>
          <w:rFonts w:asciiTheme="minorHAnsi" w:hAnsiTheme="minorHAnsi"/>
        </w:rPr>
      </w:pPr>
      <w:r>
        <w:rPr>
          <w:rFonts w:asciiTheme="minorHAnsi" w:hAnsiTheme="minorHAnsi"/>
        </w:rPr>
        <w:t>Modalidade direta/sem conexão;</w:t>
      </w:r>
    </w:p>
    <w:p w:rsidR="006A39EB" w:rsidRDefault="00AE4E99">
      <w:pPr>
        <w:pStyle w:val="PargrafodaLista"/>
        <w:numPr>
          <w:ilvl w:val="0"/>
          <w:numId w:val="3"/>
        </w:numPr>
        <w:spacing w:line="360" w:lineRule="auto"/>
        <w:jc w:val="both"/>
        <w:rPr>
          <w:rFonts w:asciiTheme="minorHAnsi" w:hAnsiTheme="minorHAnsi"/>
        </w:rPr>
      </w:pPr>
      <w:r>
        <w:rPr>
          <w:rFonts w:asciiTheme="minorHAnsi" w:hAnsiTheme="minorHAnsi"/>
        </w:rPr>
        <w:t>Modalidade semi-direta/com conexão;</w:t>
      </w:r>
    </w:p>
    <w:p w:rsidR="006A39EB" w:rsidRDefault="00AE4E99">
      <w:pPr>
        <w:pStyle w:val="PargrafodaLista"/>
        <w:numPr>
          <w:ilvl w:val="0"/>
          <w:numId w:val="3"/>
        </w:numPr>
        <w:spacing w:line="360" w:lineRule="auto"/>
        <w:jc w:val="both"/>
        <w:rPr>
          <w:rFonts w:asciiTheme="minorHAnsi" w:hAnsiTheme="minorHAnsi"/>
        </w:rPr>
      </w:pPr>
      <w:r>
        <w:rPr>
          <w:rFonts w:asciiTheme="minorHAnsi" w:hAnsiTheme="minorHAnsi"/>
        </w:rPr>
        <w:t>Modalidade comum.</w:t>
      </w: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cs="Arial"/>
        </w:rPr>
        <w:t>O auxílio deslocamento será devido uma única vez para cada deslocamento a serviço, ainda que sejam diversos os destinos, e será igual para os deslocamentos nacionais e internacionais.</w:t>
      </w: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As distâncias entre cidades a serem tomadas como parâmetros para a indenização por utilização de veículo próprio serão as constantes no Quadro de Distância Rodoviária entre as principais cidades brasileiras, editado pelo DNIT – Departamento Nacional de Infraestutura de Transporte.</w:t>
      </w:r>
    </w:p>
    <w:p w:rsidR="006A39EB" w:rsidRDefault="006A39EB">
      <w:pPr>
        <w:pStyle w:val="PargrafodaLista"/>
        <w:spacing w:after="0" w:line="360" w:lineRule="auto"/>
        <w:jc w:val="both"/>
        <w:rPr>
          <w:rFonts w:asciiTheme="minorHAnsi" w:hAnsiTheme="minorHAnsi"/>
        </w:rPr>
      </w:pPr>
    </w:p>
    <w:p w:rsidR="006A39EB" w:rsidRDefault="00AE4E99">
      <w:pPr>
        <w:spacing w:line="360" w:lineRule="auto"/>
        <w:jc w:val="center"/>
        <w:rPr>
          <w:rFonts w:asciiTheme="minorHAnsi" w:hAnsiTheme="minorHAnsi"/>
          <w:b/>
          <w:strike/>
          <w:sz w:val="22"/>
          <w:szCs w:val="22"/>
        </w:rPr>
      </w:pPr>
      <w:r>
        <w:rPr>
          <w:rFonts w:asciiTheme="minorHAnsi" w:hAnsiTheme="minorHAnsi"/>
          <w:b/>
          <w:strike/>
          <w:sz w:val="22"/>
          <w:szCs w:val="22"/>
        </w:rPr>
        <w:t>CAPÍTULO V</w:t>
      </w:r>
    </w:p>
    <w:p w:rsidR="006A39EB" w:rsidRDefault="00AE4E99">
      <w:pPr>
        <w:spacing w:line="360" w:lineRule="auto"/>
        <w:jc w:val="center"/>
        <w:rPr>
          <w:rFonts w:asciiTheme="minorHAnsi" w:hAnsiTheme="minorHAnsi"/>
          <w:b/>
          <w:sz w:val="22"/>
          <w:szCs w:val="22"/>
        </w:rPr>
      </w:pPr>
      <w:r>
        <w:rPr>
          <w:rFonts w:asciiTheme="minorHAnsi" w:hAnsiTheme="minorHAnsi"/>
          <w:b/>
          <w:sz w:val="22"/>
          <w:szCs w:val="22"/>
        </w:rPr>
        <w:lastRenderedPageBreak/>
        <w:t xml:space="preserve">CAPÍTULO V-A </w:t>
      </w:r>
    </w:p>
    <w:p w:rsidR="006A39EB" w:rsidRDefault="00AE4E99">
      <w:pPr>
        <w:spacing w:line="360" w:lineRule="auto"/>
        <w:jc w:val="center"/>
        <w:rPr>
          <w:rFonts w:asciiTheme="minorHAnsi" w:hAnsiTheme="minorHAnsi"/>
          <w:i/>
          <w:color w:val="FF0000"/>
          <w:sz w:val="22"/>
          <w:szCs w:val="22"/>
        </w:rPr>
      </w:pPr>
      <w:r>
        <w:rPr>
          <w:rFonts w:asciiTheme="minorHAnsi" w:hAnsiTheme="minorHAnsi"/>
          <w:i/>
          <w:color w:val="FF0000"/>
          <w:sz w:val="22"/>
          <w:szCs w:val="22"/>
        </w:rPr>
        <w:t>(Conforme Instrução Normativa nº 025)</w:t>
      </w:r>
    </w:p>
    <w:p w:rsidR="006A39EB" w:rsidRDefault="00AE4E99">
      <w:pPr>
        <w:spacing w:line="360" w:lineRule="auto"/>
        <w:jc w:val="center"/>
        <w:rPr>
          <w:rFonts w:asciiTheme="minorHAnsi" w:hAnsiTheme="minorHAnsi"/>
          <w:b/>
          <w:sz w:val="22"/>
          <w:szCs w:val="22"/>
        </w:rPr>
      </w:pPr>
      <w:r>
        <w:rPr>
          <w:rFonts w:asciiTheme="minorHAnsi" w:hAnsiTheme="minorHAnsi"/>
          <w:b/>
          <w:sz w:val="22"/>
          <w:szCs w:val="22"/>
        </w:rPr>
        <w:t>DO CUSTEIO DA HOSPEDAGEM</w:t>
      </w:r>
    </w:p>
    <w:p w:rsidR="006A39EB" w:rsidRDefault="006A39EB">
      <w:pPr>
        <w:spacing w:line="360" w:lineRule="auto"/>
        <w:jc w:val="center"/>
        <w:rPr>
          <w:rFonts w:asciiTheme="minorHAnsi" w:hAnsiTheme="minorHAnsi"/>
          <w:b/>
          <w:sz w:val="22"/>
          <w:szCs w:val="22"/>
        </w:rPr>
      </w:pP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A despesa de hospedagem da pessoa a serviço será custeada somente nos estabelecimentos contratados pelo CAU/RS.</w:t>
      </w: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A pessoa a serviço que dispuser de meios próprios de hospedagem poderá solicitar a dispensa de contratação de hospedagem pelo CAU/RS.</w:t>
      </w:r>
    </w:p>
    <w:p w:rsidR="006A39EB" w:rsidRDefault="006A39EB">
      <w:pPr>
        <w:pStyle w:val="PargrafodaLista"/>
        <w:spacing w:after="0" w:line="360" w:lineRule="auto"/>
        <w:jc w:val="both"/>
        <w:rPr>
          <w:rFonts w:asciiTheme="minorHAnsi" w:hAnsiTheme="minorHAnsi"/>
        </w:rPr>
      </w:pPr>
    </w:p>
    <w:p w:rsidR="006A39EB" w:rsidRDefault="00AE4E99">
      <w:pPr>
        <w:spacing w:line="360" w:lineRule="auto"/>
        <w:jc w:val="center"/>
        <w:rPr>
          <w:rFonts w:asciiTheme="minorHAnsi" w:hAnsiTheme="minorHAnsi"/>
          <w:b/>
          <w:sz w:val="22"/>
          <w:szCs w:val="22"/>
        </w:rPr>
      </w:pPr>
      <w:r>
        <w:rPr>
          <w:rFonts w:asciiTheme="minorHAnsi" w:hAnsiTheme="minorHAnsi"/>
          <w:b/>
          <w:sz w:val="22"/>
          <w:szCs w:val="22"/>
        </w:rPr>
        <w:t>CAPÍTULO VI</w:t>
      </w:r>
    </w:p>
    <w:p w:rsidR="006A39EB" w:rsidRDefault="00AE4E99">
      <w:pPr>
        <w:spacing w:line="360" w:lineRule="auto"/>
        <w:jc w:val="center"/>
        <w:rPr>
          <w:rFonts w:asciiTheme="minorHAnsi" w:hAnsiTheme="minorHAnsi"/>
          <w:b/>
          <w:sz w:val="22"/>
          <w:szCs w:val="22"/>
        </w:rPr>
      </w:pPr>
      <w:r>
        <w:rPr>
          <w:rFonts w:asciiTheme="minorHAnsi" w:hAnsiTheme="minorHAnsi"/>
          <w:b/>
          <w:sz w:val="22"/>
          <w:szCs w:val="22"/>
        </w:rPr>
        <w:t>DAS PRESTAÇÕES DE CONTAS</w:t>
      </w:r>
    </w:p>
    <w:p w:rsidR="006A39EB" w:rsidRDefault="006A39EB">
      <w:pPr>
        <w:spacing w:line="360" w:lineRule="auto"/>
        <w:ind w:firstLine="720"/>
        <w:contextualSpacing/>
        <w:jc w:val="both"/>
        <w:rPr>
          <w:rFonts w:asciiTheme="minorHAnsi" w:hAnsiTheme="minorHAnsi"/>
          <w:sz w:val="22"/>
          <w:szCs w:val="22"/>
        </w:rPr>
      </w:pP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As pessoas a serviço do CAU/RS, quando se deslocarem a serviço, ficam obrigadas à prestação de contas.</w:t>
      </w: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As prestações de contas observarão o seguinte:</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 – Nos casos de deslocamento a serviço:</w:t>
      </w:r>
    </w:p>
    <w:p w:rsidR="006A39EB" w:rsidRPr="0050474F" w:rsidRDefault="00AE4E99" w:rsidP="0050474F">
      <w:pPr>
        <w:pStyle w:val="PargrafodaLista"/>
        <w:numPr>
          <w:ilvl w:val="0"/>
          <w:numId w:val="8"/>
        </w:numPr>
        <w:spacing w:line="360" w:lineRule="auto"/>
        <w:jc w:val="both"/>
        <w:rPr>
          <w:rFonts w:asciiTheme="minorHAnsi" w:hAnsiTheme="minorHAnsi"/>
        </w:rPr>
      </w:pPr>
      <w:r w:rsidRPr="0050474F">
        <w:rPr>
          <w:rFonts w:asciiTheme="minorHAnsi" w:hAnsiTheme="minorHAnsi"/>
        </w:rPr>
        <w:lastRenderedPageBreak/>
        <w:t>relatório de participação, com descrição sucinta das atividades executadas, respeitados o modelo e os requisitos a serem aprovados pelo presidente do conselho;</w:t>
      </w:r>
    </w:p>
    <w:p w:rsidR="0050474F" w:rsidRPr="0050474F" w:rsidRDefault="0050474F" w:rsidP="0050474F">
      <w:pPr>
        <w:pStyle w:val="PargrafodaLista"/>
        <w:spacing w:line="360" w:lineRule="auto"/>
        <w:ind w:left="1080"/>
        <w:jc w:val="both"/>
        <w:rPr>
          <w:rFonts w:asciiTheme="minorHAnsi" w:hAnsiTheme="minorHAnsi"/>
        </w:rPr>
      </w:pP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b) juntada do comprovante de embarque ou de uso dos transportes aéreo, rodoviário, ferroviário ou aquaviário, exceto nas hipóteses do capítulo V;</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c) juntada de comprovante de hospedagem ou de despesa realizada no dia posterior ao pernoite na localidade de destino.</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II – nos casos de deslocamento para participação em congressos, seminários ou cursos:</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a) relatório de participação, com descrição sucinta das atividades executadas, respeitados o modelo e os requisitos a serem aprovados pelo presidente do conselho;</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b) cópia do respectivo certificado ou documento que comprove a efetiva participação do beneficiário;</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c) juntada do comprovante de embarque ou de uso dos transportes aéreo, rodoviário, ferroviário ou aquaviário, exceto nas hipóteses do capítulo V;</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d) juntada de comprovante de hospedagem ou de despesa realizada no dia posterior ao pernoite na localidade de destino.</w:t>
      </w: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As prestações de contas dos deslocamentos a serviço deverão ser apresentadas até dez dias úteis após a conclusão da viagem.</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Parágrafo único. A pessoa em débito com qualquer prestação de contas de viagem não poderá ser designada para novas missões, sendo os valores antecipados para o custeio da viagem considerados como débito, promovendo-se a cobrança administrativa ou judicial;</w:t>
      </w:r>
    </w:p>
    <w:p w:rsidR="006A39EB" w:rsidRDefault="006A39EB">
      <w:pPr>
        <w:spacing w:line="360" w:lineRule="auto"/>
        <w:ind w:firstLine="720"/>
        <w:contextualSpacing/>
        <w:jc w:val="both"/>
        <w:rPr>
          <w:rFonts w:asciiTheme="minorHAnsi" w:eastAsia="Times New Roman" w:hAnsiTheme="minorHAnsi"/>
          <w:sz w:val="22"/>
          <w:szCs w:val="22"/>
        </w:rPr>
      </w:pP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lastRenderedPageBreak/>
        <w:t>CAPÍTULO VII</w:t>
      </w: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t>DA ANTECIPAÇÃO E RETARDO DOS HORÁRIOS DE VIAGEM</w:t>
      </w:r>
    </w:p>
    <w:p w:rsidR="006A39EB" w:rsidRDefault="006A39EB">
      <w:pPr>
        <w:spacing w:line="360" w:lineRule="auto"/>
        <w:ind w:firstLine="720"/>
        <w:contextualSpacing/>
        <w:jc w:val="both"/>
        <w:rPr>
          <w:rFonts w:asciiTheme="minorHAnsi" w:eastAsia="Times New Roman" w:hAnsiTheme="minorHAnsi"/>
          <w:sz w:val="22"/>
          <w:szCs w:val="22"/>
        </w:rPr>
      </w:pP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A pedido da pessoa designada para o deslocamento a serviço, as passagens dos transportes aéreo, rodoviário, ferroviário ou aquaviário a serem utilizadas poderão ter seus horários antecipados ou retardados, respeitando-se o seguinte:</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 - nos casos em que haja acréscimo nos valores das passagens, o interessado deverá pagar, diretamente à empresa emitente das passagens, os valores despendidos a maior em face das alterações na programação;</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II - não haverá pagamento de diárias no período da antecipação ou da prorrogação da viagem;</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III - o interessado assumirá inteira responsabilidade por quaisquer fatos que venham a ocorrer no período da antecipação ou da prorrogação da viagem, isentando o conselho de tais responsabilidades, em casos não justificados;</w:t>
      </w:r>
    </w:p>
    <w:p w:rsidR="0050474F" w:rsidRDefault="0050474F">
      <w:pPr>
        <w:spacing w:line="360" w:lineRule="auto"/>
        <w:ind w:firstLine="720"/>
        <w:contextualSpacing/>
        <w:jc w:val="both"/>
        <w:rPr>
          <w:rFonts w:asciiTheme="minorHAnsi" w:eastAsia="Times New Roman" w:hAnsiTheme="minorHAnsi"/>
          <w:sz w:val="22"/>
          <w:szCs w:val="22"/>
        </w:rPr>
      </w:pP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 xml:space="preserve">IV – ocorrendo a impossibilidade de participar da reunião, curso, palestra, evento, ou qualquer das missões designadas, em virtude da antecipação ou retardo da viagem a pedido, deverá o solicitante ressarcir o conselho das diárias e passagens despendidas, devendo a situação ser averiguada mediante processo administrativo disciplinar. </w:t>
      </w:r>
    </w:p>
    <w:p w:rsidR="006A39EB" w:rsidRDefault="006A39EB">
      <w:pPr>
        <w:spacing w:line="360" w:lineRule="auto"/>
        <w:ind w:firstLine="720"/>
        <w:contextualSpacing/>
        <w:jc w:val="both"/>
        <w:rPr>
          <w:rFonts w:asciiTheme="minorHAnsi" w:eastAsia="Times New Roman" w:hAnsiTheme="minorHAnsi"/>
          <w:sz w:val="22"/>
          <w:szCs w:val="22"/>
        </w:rPr>
      </w:pP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t>CAPÍTULO VIII</w:t>
      </w: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t>DO PROCEDIMENTO</w:t>
      </w:r>
    </w:p>
    <w:p w:rsidR="006A39EB" w:rsidRDefault="006A39EB">
      <w:pPr>
        <w:spacing w:line="360" w:lineRule="auto"/>
        <w:contextualSpacing/>
        <w:jc w:val="center"/>
        <w:rPr>
          <w:rFonts w:asciiTheme="minorHAnsi" w:eastAsia="Times New Roman" w:hAnsiTheme="minorHAnsi"/>
          <w:b/>
          <w:sz w:val="22"/>
          <w:szCs w:val="22"/>
        </w:rPr>
      </w:pP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t>Seção I</w:t>
      </w: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t>Da Solicitação</w:t>
      </w:r>
    </w:p>
    <w:p w:rsidR="006A39EB" w:rsidRDefault="006A39EB">
      <w:pPr>
        <w:spacing w:line="360" w:lineRule="auto"/>
        <w:ind w:firstLine="720"/>
        <w:contextualSpacing/>
        <w:jc w:val="both"/>
        <w:rPr>
          <w:rFonts w:asciiTheme="minorHAnsi" w:eastAsia="Times New Roman" w:hAnsiTheme="minorHAnsi"/>
          <w:b/>
          <w:sz w:val="22"/>
          <w:szCs w:val="22"/>
        </w:rPr>
      </w:pP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O pedido de concessão de diárias e passagens será feito pela gerência da área ou outro solicitante autorizado, quando for o caso, e encaminhado ao setor responsável pela aquisição das passagens, juntando documentação referente ao evento, além da convocação para viagem a serviço.</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§1º. O pedido de antecipação ou retardo das passagens deverá ser feito pelo viajante, apresentando justificativa, à unidade responsável pela emissão de passagens.</w:t>
      </w:r>
    </w:p>
    <w:p w:rsidR="006A39EB" w:rsidRDefault="00AE4E99">
      <w:pPr>
        <w:spacing w:line="360" w:lineRule="auto"/>
        <w:ind w:firstLine="720"/>
        <w:contextualSpacing/>
        <w:jc w:val="both"/>
        <w:rPr>
          <w:rFonts w:asciiTheme="minorHAnsi" w:eastAsia="Times New Roman" w:hAnsiTheme="minorHAnsi"/>
          <w:sz w:val="22"/>
          <w:szCs w:val="22"/>
        </w:rPr>
      </w:pPr>
      <w:r>
        <w:rPr>
          <w:rFonts w:asciiTheme="minorHAnsi" w:eastAsia="Times New Roman" w:hAnsiTheme="minorHAnsi"/>
          <w:sz w:val="22"/>
          <w:szCs w:val="22"/>
        </w:rPr>
        <w:t>§2º. A cotação dos valores, e diferença a ser paga, será informada ao viajante, o qual ratificará o pedido no mesmo dia da cotação, sob pena de indeferimento da antecipação ou do retardo.</w:t>
      </w: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 xml:space="preserve">Aprovados todos os itens constantes na solicitação, o setor financeiro efetivará o depósito correspondente ao valor das diárias solicitadas em conta informada pela área solicitante. </w:t>
      </w:r>
    </w:p>
    <w:p w:rsidR="006A39EB" w:rsidRDefault="006A39EB">
      <w:pPr>
        <w:spacing w:line="360" w:lineRule="auto"/>
        <w:ind w:firstLine="720"/>
        <w:contextualSpacing/>
        <w:jc w:val="both"/>
        <w:rPr>
          <w:rFonts w:asciiTheme="minorHAnsi" w:eastAsia="Times New Roman" w:hAnsiTheme="minorHAnsi"/>
          <w:sz w:val="22"/>
          <w:szCs w:val="22"/>
        </w:rPr>
      </w:pP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t>CAPÍTULO IX</w:t>
      </w:r>
    </w:p>
    <w:p w:rsidR="006A39EB" w:rsidRDefault="00AE4E99">
      <w:pPr>
        <w:spacing w:line="360" w:lineRule="auto"/>
        <w:contextualSpacing/>
        <w:jc w:val="center"/>
        <w:rPr>
          <w:rFonts w:asciiTheme="minorHAnsi" w:eastAsia="Times New Roman" w:hAnsiTheme="minorHAnsi"/>
          <w:b/>
          <w:sz w:val="22"/>
          <w:szCs w:val="22"/>
        </w:rPr>
      </w:pPr>
      <w:r>
        <w:rPr>
          <w:rFonts w:asciiTheme="minorHAnsi" w:eastAsia="Times New Roman" w:hAnsiTheme="minorHAnsi"/>
          <w:b/>
          <w:sz w:val="22"/>
          <w:szCs w:val="22"/>
        </w:rPr>
        <w:t>DAS DISPOSIÇÕES FINAIS</w:t>
      </w:r>
    </w:p>
    <w:p w:rsidR="006A39EB" w:rsidRDefault="006A39EB">
      <w:pPr>
        <w:spacing w:line="360" w:lineRule="auto"/>
        <w:ind w:firstLine="720"/>
        <w:contextualSpacing/>
        <w:jc w:val="both"/>
        <w:rPr>
          <w:rFonts w:asciiTheme="minorHAnsi" w:eastAsia="Times New Roman" w:hAnsiTheme="minorHAnsi"/>
          <w:sz w:val="22"/>
          <w:szCs w:val="22"/>
        </w:rPr>
      </w:pP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Esta normativa aplica-se, no que couber, aos prestadores de serviços que participem de atividades de interesse do CAU/RS, desde que o contrato atribua expressamente tal obrigação ao CAU/RS.</w:t>
      </w: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O CAU/RS publicará mensalmente no portal da transparência as despesas efetuadas.</w:t>
      </w: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Nas situações excepcionais em que os servidores do CAU/RS incorrerem em despesas extraordinárias no desempenho de sua função pública durante a viagem a serviço, despesas estas não relacionadas com pousada, alimentação e locomoção, assistir-lhes-á o direito a quer tais gastos lhes sejam indenizados.</w:t>
      </w:r>
    </w:p>
    <w:p w:rsidR="0050474F" w:rsidRDefault="0050474F" w:rsidP="0050474F">
      <w:pPr>
        <w:spacing w:line="360" w:lineRule="auto"/>
        <w:jc w:val="both"/>
        <w:rPr>
          <w:rFonts w:asciiTheme="minorHAnsi" w:hAnsiTheme="minorHAnsi"/>
        </w:rPr>
      </w:pPr>
    </w:p>
    <w:p w:rsidR="0050474F" w:rsidRPr="0050474F" w:rsidRDefault="0050474F" w:rsidP="0050474F">
      <w:pPr>
        <w:spacing w:line="360" w:lineRule="auto"/>
        <w:jc w:val="both"/>
        <w:rPr>
          <w:rFonts w:asciiTheme="minorHAnsi" w:hAnsiTheme="minorHAnsi"/>
        </w:rPr>
      </w:pP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Aplicam-se a esta Instrução Normativa, como norma integradora, os dispositivos constantes na Resolução nº 47 do CAU/BR, bem como as normas supervenientes emanadas pelo CAU/BR sobre a matéria, na forma do artigo 2º, §3º da Lei nº 11.000/2004.</w:t>
      </w: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Os casos omissos serão resolvidos pelo Gerente-Geral do CAU/RS, mediante solicitação do interessado.</w:t>
      </w: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Revoga-se a Instrução Normativa nº 010 de 18 de janeiro de 2016.</w:t>
      </w:r>
    </w:p>
    <w:p w:rsidR="006A39EB" w:rsidRDefault="00AE4E99">
      <w:pPr>
        <w:pStyle w:val="PargrafodaLista"/>
        <w:numPr>
          <w:ilvl w:val="1"/>
          <w:numId w:val="2"/>
        </w:numPr>
        <w:spacing w:after="0" w:line="360" w:lineRule="auto"/>
        <w:ind w:left="0" w:firstLine="720"/>
        <w:jc w:val="both"/>
        <w:rPr>
          <w:rFonts w:asciiTheme="minorHAnsi" w:hAnsiTheme="minorHAnsi"/>
        </w:rPr>
      </w:pPr>
      <w:r>
        <w:rPr>
          <w:rFonts w:asciiTheme="minorHAnsi" w:hAnsiTheme="minorHAnsi"/>
        </w:rPr>
        <w:t>Esta Instrução Normativa entra em vigor na data de sua publicação.</w:t>
      </w:r>
    </w:p>
    <w:p w:rsidR="006A39EB" w:rsidRDefault="006A39EB">
      <w:pPr>
        <w:tabs>
          <w:tab w:val="left" w:pos="1418"/>
        </w:tabs>
        <w:spacing w:after="120" w:line="360" w:lineRule="auto"/>
        <w:ind w:firstLine="2268"/>
        <w:jc w:val="both"/>
        <w:rPr>
          <w:rFonts w:asciiTheme="minorHAnsi" w:hAnsiTheme="minorHAnsi" w:cs="Arial"/>
          <w:sz w:val="22"/>
          <w:szCs w:val="22"/>
        </w:rPr>
      </w:pPr>
    </w:p>
    <w:p w:rsidR="006A39EB" w:rsidRDefault="006A39EB">
      <w:pPr>
        <w:tabs>
          <w:tab w:val="left" w:pos="1418"/>
        </w:tabs>
        <w:spacing w:after="120" w:line="360" w:lineRule="auto"/>
        <w:ind w:firstLine="2268"/>
        <w:jc w:val="both"/>
        <w:rPr>
          <w:rFonts w:asciiTheme="minorHAnsi" w:hAnsiTheme="minorHAnsi" w:cs="Arial"/>
          <w:sz w:val="22"/>
          <w:szCs w:val="22"/>
        </w:rPr>
      </w:pPr>
    </w:p>
    <w:p w:rsidR="006A39EB" w:rsidRDefault="006A39EB">
      <w:pPr>
        <w:tabs>
          <w:tab w:val="left" w:pos="1418"/>
        </w:tabs>
        <w:spacing w:after="120" w:line="360" w:lineRule="auto"/>
        <w:ind w:firstLine="2268"/>
        <w:jc w:val="both"/>
        <w:rPr>
          <w:rFonts w:asciiTheme="minorHAnsi" w:hAnsiTheme="minorHAnsi" w:cs="Arial"/>
          <w:sz w:val="22"/>
          <w:szCs w:val="22"/>
        </w:rPr>
      </w:pPr>
    </w:p>
    <w:p w:rsidR="006A39EB" w:rsidRDefault="00AE4E99">
      <w:pPr>
        <w:jc w:val="center"/>
        <w:rPr>
          <w:rFonts w:asciiTheme="minorHAnsi" w:hAnsiTheme="minorHAnsi" w:cs="Arial"/>
          <w:b/>
          <w:sz w:val="22"/>
          <w:szCs w:val="22"/>
        </w:rPr>
      </w:pPr>
      <w:r>
        <w:rPr>
          <w:rFonts w:asciiTheme="minorHAnsi" w:hAnsiTheme="minorHAnsi" w:cs="Arial"/>
          <w:b/>
          <w:sz w:val="22"/>
          <w:szCs w:val="22"/>
        </w:rPr>
        <w:t>JOAQUIM EDUARDO VIDAL HAAS</w:t>
      </w:r>
    </w:p>
    <w:p w:rsidR="006A39EB" w:rsidRDefault="00AE4E99">
      <w:pPr>
        <w:jc w:val="center"/>
        <w:rPr>
          <w:rFonts w:asciiTheme="minorHAnsi" w:hAnsiTheme="minorHAnsi" w:cs="Arial"/>
          <w:b/>
          <w:sz w:val="22"/>
          <w:szCs w:val="22"/>
        </w:rPr>
      </w:pPr>
      <w:r>
        <w:rPr>
          <w:rFonts w:asciiTheme="minorHAnsi" w:hAnsiTheme="minorHAnsi" w:cs="Arial"/>
          <w:b/>
          <w:sz w:val="22"/>
          <w:szCs w:val="22"/>
        </w:rPr>
        <w:lastRenderedPageBreak/>
        <w:t>Presidente do CAU/RS</w:t>
      </w:r>
    </w:p>
    <w:p w:rsidR="006A39EB" w:rsidRDefault="006A39EB">
      <w:pPr>
        <w:jc w:val="center"/>
        <w:rPr>
          <w:rFonts w:asciiTheme="minorHAnsi" w:hAnsiTheme="minorHAnsi" w:cs="Arial"/>
          <w:b/>
          <w:sz w:val="22"/>
          <w:szCs w:val="22"/>
        </w:rPr>
      </w:pPr>
    </w:p>
    <w:p w:rsidR="006A39EB" w:rsidRDefault="006A39EB">
      <w:pPr>
        <w:jc w:val="center"/>
        <w:rPr>
          <w:rFonts w:asciiTheme="minorHAnsi" w:hAnsiTheme="minorHAnsi" w:cs="Arial"/>
          <w:b/>
          <w:sz w:val="22"/>
          <w:szCs w:val="22"/>
        </w:rPr>
      </w:pPr>
    </w:p>
    <w:p w:rsidR="006A39EB" w:rsidRDefault="006A39EB">
      <w:pPr>
        <w:jc w:val="center"/>
        <w:rPr>
          <w:rFonts w:asciiTheme="minorHAnsi" w:hAnsiTheme="minorHAnsi" w:cs="Arial"/>
          <w:b/>
          <w:sz w:val="22"/>
          <w:szCs w:val="22"/>
        </w:rPr>
      </w:pPr>
    </w:p>
    <w:p w:rsidR="006A39EB" w:rsidRDefault="00AE4E99">
      <w:pPr>
        <w:rPr>
          <w:rFonts w:asciiTheme="minorHAnsi" w:hAnsiTheme="minorHAnsi" w:cs="Arial"/>
          <w:b/>
          <w:sz w:val="22"/>
          <w:szCs w:val="22"/>
        </w:rPr>
      </w:pPr>
      <w:r>
        <w:br w:type="page"/>
      </w:r>
    </w:p>
    <w:p w:rsidR="006A39EB" w:rsidRDefault="00AE4E99">
      <w:pPr>
        <w:jc w:val="center"/>
        <w:rPr>
          <w:rFonts w:asciiTheme="minorHAnsi" w:hAnsiTheme="minorHAnsi" w:cs="Arial"/>
          <w:b/>
          <w:sz w:val="22"/>
          <w:szCs w:val="22"/>
        </w:rPr>
      </w:pPr>
      <w:r>
        <w:rPr>
          <w:rFonts w:asciiTheme="minorHAnsi" w:hAnsiTheme="minorHAnsi" w:cs="Arial"/>
          <w:b/>
          <w:sz w:val="22"/>
          <w:szCs w:val="22"/>
        </w:rPr>
        <w:lastRenderedPageBreak/>
        <w:t>ANEXO I</w:t>
      </w:r>
    </w:p>
    <w:p w:rsidR="006A39EB" w:rsidRDefault="006A39EB">
      <w:pPr>
        <w:jc w:val="center"/>
        <w:rPr>
          <w:rFonts w:asciiTheme="minorHAnsi" w:hAnsiTheme="minorHAnsi" w:cs="Arial"/>
          <w:sz w:val="22"/>
          <w:szCs w:val="22"/>
        </w:rPr>
      </w:pPr>
    </w:p>
    <w:p w:rsidR="006A39EB" w:rsidRDefault="00AE4E99">
      <w:pPr>
        <w:jc w:val="center"/>
        <w:rPr>
          <w:rFonts w:asciiTheme="minorHAnsi" w:hAnsiTheme="minorHAnsi" w:cs="Arial"/>
          <w:b/>
          <w:strike/>
          <w:sz w:val="22"/>
          <w:szCs w:val="22"/>
        </w:rPr>
      </w:pPr>
      <w:r>
        <w:rPr>
          <w:rFonts w:asciiTheme="minorHAnsi" w:hAnsiTheme="minorHAnsi" w:cs="Arial"/>
          <w:b/>
          <w:strike/>
          <w:sz w:val="22"/>
          <w:szCs w:val="22"/>
        </w:rPr>
        <w:t>Tabela – Valor da indenização de diárias aos servidores do CAU/RS</w:t>
      </w:r>
    </w:p>
    <w:tbl>
      <w:tblPr>
        <w:tblStyle w:val="Tabelacomgrade"/>
        <w:tblW w:w="9205" w:type="dxa"/>
        <w:tblLook w:val="04A0" w:firstRow="1" w:lastRow="0" w:firstColumn="1" w:lastColumn="0" w:noHBand="0" w:noVBand="1"/>
      </w:tblPr>
      <w:tblGrid>
        <w:gridCol w:w="3068"/>
        <w:gridCol w:w="3068"/>
        <w:gridCol w:w="3069"/>
      </w:tblGrid>
      <w:tr w:rsidR="006A39EB">
        <w:tc>
          <w:tcPr>
            <w:tcW w:w="3068" w:type="dxa"/>
          </w:tcPr>
          <w:p w:rsidR="006A39EB" w:rsidRDefault="00AE4E99">
            <w:pPr>
              <w:jc w:val="center"/>
              <w:rPr>
                <w:rFonts w:asciiTheme="minorHAnsi" w:hAnsiTheme="minorHAnsi" w:cs="Arial"/>
                <w:strike/>
                <w:sz w:val="22"/>
                <w:szCs w:val="22"/>
              </w:rPr>
            </w:pPr>
            <w:r>
              <w:rPr>
                <w:rFonts w:asciiTheme="minorHAnsi" w:eastAsia="Times New Roman" w:hAnsiTheme="minorHAnsi" w:cs="Arial"/>
                <w:strike/>
                <w:sz w:val="22"/>
                <w:szCs w:val="22"/>
              </w:rPr>
              <w:t>Deslocamentos para Brasília/Rio de Janeiro/São Paulo</w:t>
            </w:r>
          </w:p>
        </w:tc>
        <w:tc>
          <w:tcPr>
            <w:tcW w:w="3068" w:type="dxa"/>
          </w:tcPr>
          <w:p w:rsidR="006A39EB" w:rsidRDefault="00AE4E99">
            <w:pPr>
              <w:jc w:val="center"/>
              <w:rPr>
                <w:rFonts w:asciiTheme="minorHAnsi" w:hAnsiTheme="minorHAnsi" w:cs="Arial"/>
                <w:strike/>
                <w:sz w:val="22"/>
                <w:szCs w:val="22"/>
              </w:rPr>
            </w:pPr>
            <w:r>
              <w:rPr>
                <w:rFonts w:asciiTheme="minorHAnsi" w:eastAsia="Times New Roman" w:hAnsiTheme="minorHAnsi" w:cs="Arial"/>
                <w:strike/>
                <w:sz w:val="22"/>
                <w:szCs w:val="22"/>
              </w:rPr>
              <w:t>Deslocamento para os demais Estados</w:t>
            </w:r>
          </w:p>
        </w:tc>
        <w:tc>
          <w:tcPr>
            <w:tcW w:w="3069" w:type="dxa"/>
          </w:tcPr>
          <w:p w:rsidR="006A39EB" w:rsidRDefault="00AE4E99">
            <w:pPr>
              <w:jc w:val="center"/>
              <w:rPr>
                <w:rFonts w:asciiTheme="minorHAnsi" w:hAnsiTheme="minorHAnsi" w:cs="Arial"/>
                <w:strike/>
                <w:sz w:val="22"/>
                <w:szCs w:val="22"/>
              </w:rPr>
            </w:pPr>
            <w:r>
              <w:rPr>
                <w:rFonts w:asciiTheme="minorHAnsi" w:eastAsia="Times New Roman" w:hAnsiTheme="minorHAnsi" w:cs="Arial"/>
                <w:strike/>
                <w:sz w:val="22"/>
                <w:szCs w:val="22"/>
              </w:rPr>
              <w:t>Deslocamento para as demais localidades no Rio Grande do Sul</w:t>
            </w:r>
          </w:p>
        </w:tc>
      </w:tr>
      <w:tr w:rsidR="006A39EB">
        <w:tc>
          <w:tcPr>
            <w:tcW w:w="3068" w:type="dxa"/>
          </w:tcPr>
          <w:p w:rsidR="006A39EB" w:rsidRDefault="00AE4E99">
            <w:pPr>
              <w:jc w:val="center"/>
              <w:rPr>
                <w:rFonts w:asciiTheme="minorHAnsi" w:hAnsiTheme="minorHAnsi" w:cs="Arial"/>
                <w:strike/>
                <w:sz w:val="22"/>
                <w:szCs w:val="22"/>
              </w:rPr>
            </w:pPr>
            <w:r>
              <w:rPr>
                <w:rFonts w:asciiTheme="minorHAnsi" w:eastAsia="Times New Roman" w:hAnsiTheme="minorHAnsi" w:cs="Arial"/>
                <w:strike/>
                <w:sz w:val="22"/>
                <w:szCs w:val="22"/>
              </w:rPr>
              <w:t>R$ 322,18</w:t>
            </w:r>
          </w:p>
        </w:tc>
        <w:tc>
          <w:tcPr>
            <w:tcW w:w="3068" w:type="dxa"/>
          </w:tcPr>
          <w:p w:rsidR="006A39EB" w:rsidRDefault="00AE4E99">
            <w:pPr>
              <w:jc w:val="center"/>
              <w:rPr>
                <w:rFonts w:asciiTheme="minorHAnsi" w:hAnsiTheme="minorHAnsi" w:cs="Arial"/>
                <w:strike/>
                <w:sz w:val="22"/>
                <w:szCs w:val="22"/>
              </w:rPr>
            </w:pPr>
            <w:r>
              <w:rPr>
                <w:rFonts w:asciiTheme="minorHAnsi" w:eastAsia="Times New Roman" w:hAnsiTheme="minorHAnsi" w:cs="Arial"/>
                <w:strike/>
                <w:sz w:val="22"/>
                <w:szCs w:val="22"/>
              </w:rPr>
              <w:t>R$ 257,74</w:t>
            </w:r>
          </w:p>
        </w:tc>
        <w:tc>
          <w:tcPr>
            <w:tcW w:w="3069" w:type="dxa"/>
          </w:tcPr>
          <w:p w:rsidR="006A39EB" w:rsidRDefault="00AE4E99">
            <w:pPr>
              <w:jc w:val="center"/>
              <w:rPr>
                <w:rFonts w:asciiTheme="minorHAnsi" w:hAnsiTheme="minorHAnsi" w:cs="Arial"/>
                <w:strike/>
                <w:sz w:val="22"/>
                <w:szCs w:val="22"/>
              </w:rPr>
            </w:pPr>
            <w:r>
              <w:rPr>
                <w:rFonts w:asciiTheme="minorHAnsi" w:eastAsia="Times New Roman" w:hAnsiTheme="minorHAnsi" w:cs="Arial"/>
                <w:strike/>
                <w:sz w:val="22"/>
                <w:szCs w:val="22"/>
              </w:rPr>
              <w:t>R$ 214,78</w:t>
            </w:r>
          </w:p>
        </w:tc>
      </w:tr>
    </w:tbl>
    <w:p w:rsidR="006A39EB" w:rsidRDefault="006A39EB">
      <w:pPr>
        <w:jc w:val="center"/>
        <w:rPr>
          <w:rFonts w:asciiTheme="minorHAnsi" w:hAnsiTheme="minorHAnsi" w:cs="Arial"/>
          <w:b/>
          <w:sz w:val="22"/>
          <w:szCs w:val="22"/>
        </w:rPr>
      </w:pPr>
    </w:p>
    <w:p w:rsidR="006A39EB" w:rsidRDefault="00AE4E99">
      <w:pPr>
        <w:jc w:val="center"/>
        <w:rPr>
          <w:rFonts w:asciiTheme="minorHAnsi" w:hAnsiTheme="minorHAnsi" w:cs="Arial"/>
          <w:b/>
          <w:sz w:val="22"/>
          <w:szCs w:val="22"/>
        </w:rPr>
      </w:pPr>
      <w:r>
        <w:rPr>
          <w:rFonts w:asciiTheme="minorHAnsi" w:hAnsiTheme="minorHAnsi" w:cs="Arial"/>
          <w:b/>
          <w:sz w:val="22"/>
          <w:szCs w:val="22"/>
        </w:rPr>
        <w:t>Tabela – Valor da indenização de diárias aos servidores do CAU/RS</w:t>
      </w:r>
    </w:p>
    <w:tbl>
      <w:tblPr>
        <w:tblStyle w:val="Tabelacomgrade"/>
        <w:tblW w:w="9205" w:type="dxa"/>
        <w:tblLook w:val="04A0" w:firstRow="1" w:lastRow="0" w:firstColumn="1" w:lastColumn="0" w:noHBand="0" w:noVBand="1"/>
      </w:tblPr>
      <w:tblGrid>
        <w:gridCol w:w="3068"/>
        <w:gridCol w:w="3068"/>
        <w:gridCol w:w="3069"/>
      </w:tblGrid>
      <w:tr w:rsidR="006A39EB">
        <w:tc>
          <w:tcPr>
            <w:tcW w:w="3068" w:type="dxa"/>
          </w:tcPr>
          <w:p w:rsidR="006A39EB" w:rsidRDefault="00AE4E99">
            <w:pPr>
              <w:jc w:val="center"/>
              <w:rPr>
                <w:rFonts w:asciiTheme="minorHAnsi" w:hAnsiTheme="minorHAnsi" w:cs="Arial"/>
                <w:sz w:val="22"/>
                <w:szCs w:val="22"/>
              </w:rPr>
            </w:pPr>
            <w:r>
              <w:rPr>
                <w:rFonts w:asciiTheme="minorHAnsi" w:eastAsia="Times New Roman" w:hAnsiTheme="minorHAnsi" w:cs="Arial"/>
                <w:sz w:val="22"/>
                <w:szCs w:val="22"/>
              </w:rPr>
              <w:t>Deslocamentos para Brasília/Rio de Janeiro/São Paulo</w:t>
            </w:r>
          </w:p>
        </w:tc>
        <w:tc>
          <w:tcPr>
            <w:tcW w:w="3068" w:type="dxa"/>
          </w:tcPr>
          <w:p w:rsidR="006A39EB" w:rsidRDefault="00AE4E99">
            <w:pPr>
              <w:jc w:val="center"/>
              <w:rPr>
                <w:rFonts w:asciiTheme="minorHAnsi" w:hAnsiTheme="minorHAnsi" w:cs="Arial"/>
                <w:sz w:val="22"/>
                <w:szCs w:val="22"/>
              </w:rPr>
            </w:pPr>
            <w:r>
              <w:rPr>
                <w:rFonts w:asciiTheme="minorHAnsi" w:eastAsia="Times New Roman" w:hAnsiTheme="minorHAnsi" w:cs="Arial"/>
                <w:sz w:val="22"/>
                <w:szCs w:val="22"/>
              </w:rPr>
              <w:t>Deslocamento para os demais Estados</w:t>
            </w:r>
          </w:p>
        </w:tc>
        <w:tc>
          <w:tcPr>
            <w:tcW w:w="3069" w:type="dxa"/>
          </w:tcPr>
          <w:p w:rsidR="006A39EB" w:rsidRDefault="00AE4E99">
            <w:pPr>
              <w:jc w:val="center"/>
              <w:rPr>
                <w:rFonts w:asciiTheme="minorHAnsi" w:hAnsiTheme="minorHAnsi" w:cs="Arial"/>
                <w:sz w:val="22"/>
                <w:szCs w:val="22"/>
              </w:rPr>
            </w:pPr>
            <w:r>
              <w:rPr>
                <w:rFonts w:asciiTheme="minorHAnsi" w:eastAsia="Times New Roman" w:hAnsiTheme="minorHAnsi" w:cs="Arial"/>
                <w:sz w:val="22"/>
                <w:szCs w:val="22"/>
              </w:rPr>
              <w:t>Deslocamento para as demais localidades no Rio Grande do Sul</w:t>
            </w:r>
          </w:p>
        </w:tc>
      </w:tr>
      <w:tr w:rsidR="006A39EB">
        <w:tc>
          <w:tcPr>
            <w:tcW w:w="3068" w:type="dxa"/>
          </w:tcPr>
          <w:p w:rsidR="006A39EB" w:rsidRDefault="00AE4E99">
            <w:pPr>
              <w:jc w:val="center"/>
              <w:rPr>
                <w:rFonts w:asciiTheme="minorHAnsi" w:hAnsiTheme="minorHAnsi" w:cs="Arial"/>
                <w:sz w:val="22"/>
                <w:szCs w:val="22"/>
              </w:rPr>
            </w:pPr>
            <w:r>
              <w:rPr>
                <w:rFonts w:asciiTheme="minorHAnsi" w:eastAsia="Times New Roman" w:hAnsiTheme="minorHAnsi" w:cs="Arial"/>
                <w:sz w:val="22"/>
                <w:szCs w:val="22"/>
              </w:rPr>
              <w:t>R$ 361,90</w:t>
            </w:r>
          </w:p>
        </w:tc>
        <w:tc>
          <w:tcPr>
            <w:tcW w:w="3068" w:type="dxa"/>
          </w:tcPr>
          <w:p w:rsidR="006A39EB" w:rsidRDefault="00AE4E99">
            <w:pPr>
              <w:jc w:val="center"/>
              <w:rPr>
                <w:rFonts w:asciiTheme="minorHAnsi" w:hAnsiTheme="minorHAnsi" w:cs="Arial"/>
                <w:sz w:val="22"/>
                <w:szCs w:val="22"/>
              </w:rPr>
            </w:pPr>
            <w:r>
              <w:rPr>
                <w:rFonts w:asciiTheme="minorHAnsi" w:eastAsia="Times New Roman" w:hAnsiTheme="minorHAnsi" w:cs="Arial"/>
                <w:sz w:val="22"/>
                <w:szCs w:val="22"/>
              </w:rPr>
              <w:t>R$ 289,52</w:t>
            </w:r>
          </w:p>
        </w:tc>
        <w:tc>
          <w:tcPr>
            <w:tcW w:w="3069" w:type="dxa"/>
          </w:tcPr>
          <w:p w:rsidR="006A39EB" w:rsidRDefault="00AE4E99">
            <w:pPr>
              <w:jc w:val="center"/>
              <w:rPr>
                <w:rFonts w:asciiTheme="minorHAnsi" w:hAnsiTheme="minorHAnsi" w:cs="Arial"/>
                <w:sz w:val="22"/>
                <w:szCs w:val="22"/>
              </w:rPr>
            </w:pPr>
            <w:r>
              <w:rPr>
                <w:rFonts w:asciiTheme="minorHAnsi" w:eastAsia="Times New Roman" w:hAnsiTheme="minorHAnsi" w:cs="Arial"/>
                <w:sz w:val="22"/>
                <w:szCs w:val="22"/>
              </w:rPr>
              <w:t>R$ 241,20</w:t>
            </w:r>
          </w:p>
        </w:tc>
      </w:tr>
    </w:tbl>
    <w:p w:rsidR="006A39EB" w:rsidRDefault="00AE4E99">
      <w:pPr>
        <w:jc w:val="center"/>
        <w:rPr>
          <w:rFonts w:asciiTheme="minorHAnsi" w:hAnsiTheme="minorHAnsi" w:cs="Arial"/>
          <w:b/>
          <w:sz w:val="22"/>
          <w:szCs w:val="22"/>
        </w:rPr>
      </w:pPr>
      <w:r>
        <w:rPr>
          <w:rFonts w:asciiTheme="minorHAnsi" w:hAnsiTheme="minorHAnsi" w:cs="Arial"/>
          <w:i/>
          <w:color w:val="FF0000"/>
          <w:sz w:val="22"/>
          <w:szCs w:val="22"/>
        </w:rPr>
        <w:t>(Redação dada pela Instrução Normativa nº025)</w:t>
      </w:r>
    </w:p>
    <w:p w:rsidR="006A39EB" w:rsidRDefault="006A39EB">
      <w:pPr>
        <w:jc w:val="center"/>
        <w:rPr>
          <w:rFonts w:asciiTheme="minorHAnsi" w:hAnsiTheme="minorHAnsi" w:cs="Arial"/>
          <w:b/>
          <w:sz w:val="22"/>
          <w:szCs w:val="22"/>
        </w:rPr>
      </w:pPr>
    </w:p>
    <w:p w:rsidR="006A39EB" w:rsidRDefault="00AE4E99">
      <w:pPr>
        <w:jc w:val="center"/>
        <w:rPr>
          <w:rFonts w:asciiTheme="minorHAnsi" w:hAnsiTheme="minorHAnsi" w:cs="Arial"/>
          <w:b/>
          <w:sz w:val="22"/>
          <w:szCs w:val="22"/>
        </w:rPr>
      </w:pPr>
      <w:r>
        <w:rPr>
          <w:rFonts w:asciiTheme="minorHAnsi" w:hAnsiTheme="minorHAnsi" w:cs="Arial"/>
          <w:b/>
          <w:sz w:val="22"/>
          <w:szCs w:val="22"/>
        </w:rPr>
        <w:t>ANEXO II</w:t>
      </w:r>
    </w:p>
    <w:p w:rsidR="006A39EB" w:rsidRDefault="006A39EB">
      <w:pPr>
        <w:jc w:val="center"/>
        <w:rPr>
          <w:rFonts w:asciiTheme="minorHAnsi" w:hAnsiTheme="minorHAnsi" w:cs="Arial"/>
          <w:b/>
          <w:sz w:val="22"/>
          <w:szCs w:val="22"/>
        </w:rPr>
      </w:pPr>
    </w:p>
    <w:p w:rsidR="006A39EB" w:rsidRDefault="00AE4E99">
      <w:pPr>
        <w:jc w:val="center"/>
        <w:rPr>
          <w:rFonts w:asciiTheme="minorHAnsi" w:hAnsiTheme="minorHAnsi" w:cs="Arial"/>
          <w:b/>
          <w:sz w:val="22"/>
          <w:szCs w:val="22"/>
        </w:rPr>
      </w:pPr>
      <w:r>
        <w:rPr>
          <w:rFonts w:asciiTheme="minorHAnsi" w:hAnsiTheme="minorHAnsi" w:cs="Arial"/>
          <w:b/>
          <w:sz w:val="22"/>
          <w:szCs w:val="22"/>
        </w:rPr>
        <w:t>Tabela – Valor do adicional de embarque e desembarque</w:t>
      </w:r>
    </w:p>
    <w:p w:rsidR="006A39EB" w:rsidRDefault="006A39EB">
      <w:pPr>
        <w:jc w:val="center"/>
        <w:rPr>
          <w:rFonts w:asciiTheme="minorHAnsi" w:hAnsiTheme="minorHAnsi" w:cs="Arial"/>
          <w:b/>
          <w:sz w:val="22"/>
          <w:szCs w:val="22"/>
        </w:rPr>
      </w:pPr>
    </w:p>
    <w:tbl>
      <w:tblPr>
        <w:tblStyle w:val="Tabelacomgrade"/>
        <w:tblW w:w="9204" w:type="dxa"/>
        <w:tblLook w:val="04A0" w:firstRow="1" w:lastRow="0" w:firstColumn="1" w:lastColumn="0" w:noHBand="0" w:noVBand="1"/>
      </w:tblPr>
      <w:tblGrid>
        <w:gridCol w:w="4603"/>
        <w:gridCol w:w="4601"/>
      </w:tblGrid>
      <w:tr w:rsidR="006A39EB">
        <w:tc>
          <w:tcPr>
            <w:tcW w:w="4602" w:type="dxa"/>
          </w:tcPr>
          <w:p w:rsidR="006A39EB" w:rsidRDefault="00AE4E99">
            <w:pPr>
              <w:jc w:val="center"/>
              <w:rPr>
                <w:rFonts w:asciiTheme="minorHAnsi" w:hAnsiTheme="minorHAnsi" w:cs="Arial"/>
                <w:sz w:val="22"/>
                <w:szCs w:val="22"/>
              </w:rPr>
            </w:pPr>
            <w:r>
              <w:rPr>
                <w:rFonts w:asciiTheme="minorHAnsi" w:eastAsia="Times New Roman" w:hAnsiTheme="minorHAnsi" w:cs="Arial"/>
                <w:sz w:val="22"/>
                <w:szCs w:val="22"/>
              </w:rPr>
              <w:t>Adicional para custeio de locomoção urbana</w:t>
            </w:r>
          </w:p>
        </w:tc>
        <w:tc>
          <w:tcPr>
            <w:tcW w:w="4601" w:type="dxa"/>
          </w:tcPr>
          <w:p w:rsidR="006A39EB" w:rsidRDefault="00AE4E99">
            <w:pPr>
              <w:jc w:val="center"/>
              <w:rPr>
                <w:rFonts w:asciiTheme="minorHAnsi" w:hAnsiTheme="minorHAnsi" w:cs="Arial"/>
                <w:sz w:val="22"/>
                <w:szCs w:val="22"/>
              </w:rPr>
            </w:pPr>
            <w:r>
              <w:rPr>
                <w:rFonts w:asciiTheme="minorHAnsi" w:eastAsia="Times New Roman" w:hAnsiTheme="minorHAnsi" w:cs="Arial"/>
                <w:sz w:val="22"/>
                <w:szCs w:val="22"/>
              </w:rPr>
              <w:t>R$95,00</w:t>
            </w:r>
          </w:p>
        </w:tc>
      </w:tr>
    </w:tbl>
    <w:p w:rsidR="006A39EB" w:rsidRDefault="006A39EB">
      <w:pPr>
        <w:jc w:val="center"/>
        <w:rPr>
          <w:rFonts w:asciiTheme="minorHAnsi" w:hAnsiTheme="minorHAnsi" w:cs="Arial"/>
          <w:b/>
          <w:sz w:val="22"/>
          <w:szCs w:val="22"/>
        </w:rPr>
      </w:pPr>
    </w:p>
    <w:p w:rsidR="006A39EB" w:rsidRDefault="006A39EB">
      <w:pPr>
        <w:rPr>
          <w:rFonts w:asciiTheme="minorHAnsi" w:hAnsiTheme="minorHAnsi" w:cs="Arial"/>
          <w:b/>
          <w:sz w:val="22"/>
          <w:szCs w:val="22"/>
        </w:rPr>
      </w:pPr>
    </w:p>
    <w:p w:rsidR="006A39EB" w:rsidRDefault="00AE4E99">
      <w:pPr>
        <w:jc w:val="center"/>
        <w:rPr>
          <w:rFonts w:asciiTheme="minorHAnsi" w:hAnsiTheme="minorHAnsi" w:cs="Arial"/>
          <w:b/>
          <w:sz w:val="22"/>
          <w:szCs w:val="22"/>
        </w:rPr>
      </w:pPr>
      <w:r>
        <w:rPr>
          <w:rFonts w:asciiTheme="minorHAnsi" w:hAnsiTheme="minorHAnsi" w:cs="Arial"/>
          <w:b/>
          <w:sz w:val="22"/>
          <w:szCs w:val="22"/>
        </w:rPr>
        <w:t>ANEXO IIII</w:t>
      </w:r>
    </w:p>
    <w:p w:rsidR="006A39EB" w:rsidRDefault="006A39EB">
      <w:pPr>
        <w:jc w:val="center"/>
        <w:rPr>
          <w:rFonts w:asciiTheme="minorHAnsi" w:hAnsiTheme="minorHAnsi" w:cs="Arial"/>
          <w:b/>
          <w:sz w:val="22"/>
          <w:szCs w:val="22"/>
        </w:rPr>
      </w:pPr>
    </w:p>
    <w:p w:rsidR="006A39EB" w:rsidRDefault="00AE4E99">
      <w:pPr>
        <w:jc w:val="center"/>
        <w:rPr>
          <w:rFonts w:asciiTheme="minorHAnsi" w:hAnsiTheme="minorHAnsi" w:cs="Arial"/>
          <w:b/>
          <w:sz w:val="22"/>
          <w:szCs w:val="22"/>
        </w:rPr>
      </w:pPr>
      <w:r>
        <w:rPr>
          <w:rFonts w:asciiTheme="minorHAnsi" w:hAnsiTheme="minorHAnsi" w:cs="Arial"/>
          <w:b/>
          <w:sz w:val="22"/>
          <w:szCs w:val="22"/>
        </w:rPr>
        <w:t>Tabela – Valor do reembolso por deslocamento em veículo próprio</w:t>
      </w:r>
    </w:p>
    <w:p w:rsidR="006A39EB" w:rsidRDefault="006A39EB">
      <w:pPr>
        <w:jc w:val="center"/>
        <w:rPr>
          <w:rFonts w:asciiTheme="minorHAnsi" w:hAnsiTheme="minorHAnsi" w:cs="Arial"/>
          <w:b/>
          <w:sz w:val="22"/>
          <w:szCs w:val="22"/>
        </w:rPr>
      </w:pPr>
    </w:p>
    <w:tbl>
      <w:tblPr>
        <w:tblStyle w:val="Tabelacomgrade"/>
        <w:tblW w:w="9204" w:type="dxa"/>
        <w:jc w:val="center"/>
        <w:tblLook w:val="04A0" w:firstRow="1" w:lastRow="0" w:firstColumn="1" w:lastColumn="0" w:noHBand="0" w:noVBand="1"/>
      </w:tblPr>
      <w:tblGrid>
        <w:gridCol w:w="4603"/>
        <w:gridCol w:w="4601"/>
      </w:tblGrid>
      <w:tr w:rsidR="006A39EB">
        <w:trPr>
          <w:jc w:val="center"/>
        </w:trPr>
        <w:tc>
          <w:tcPr>
            <w:tcW w:w="4602" w:type="dxa"/>
          </w:tcPr>
          <w:p w:rsidR="006A39EB" w:rsidRDefault="00AE4E99">
            <w:pPr>
              <w:jc w:val="center"/>
              <w:rPr>
                <w:rFonts w:asciiTheme="minorHAnsi" w:hAnsiTheme="minorHAnsi" w:cs="Arial"/>
                <w:sz w:val="22"/>
                <w:szCs w:val="22"/>
              </w:rPr>
            </w:pPr>
            <w:r>
              <w:rPr>
                <w:rFonts w:asciiTheme="minorHAnsi" w:eastAsia="Times New Roman" w:hAnsiTheme="minorHAnsi" w:cs="Arial"/>
                <w:sz w:val="22"/>
                <w:szCs w:val="22"/>
              </w:rPr>
              <w:lastRenderedPageBreak/>
              <w:t>Reembolso por deslocamento em veículo próprio (por km rodado)</w:t>
            </w:r>
          </w:p>
        </w:tc>
        <w:tc>
          <w:tcPr>
            <w:tcW w:w="4601" w:type="dxa"/>
          </w:tcPr>
          <w:p w:rsidR="006A39EB" w:rsidRDefault="00AE4E99">
            <w:pPr>
              <w:tabs>
                <w:tab w:val="left" w:pos="326"/>
                <w:tab w:val="center" w:pos="2193"/>
              </w:tabs>
              <w:jc w:val="center"/>
              <w:rPr>
                <w:rFonts w:asciiTheme="minorHAnsi" w:hAnsiTheme="minorHAnsi" w:cs="Arial"/>
                <w:sz w:val="22"/>
                <w:szCs w:val="22"/>
              </w:rPr>
            </w:pPr>
            <w:r>
              <w:rPr>
                <w:rFonts w:asciiTheme="minorHAnsi" w:eastAsia="Times New Roman" w:hAnsiTheme="minorHAnsi" w:cs="Arial"/>
                <w:sz w:val="22"/>
                <w:szCs w:val="22"/>
              </w:rPr>
              <w:t xml:space="preserve">R$ 00,63 </w:t>
            </w:r>
          </w:p>
        </w:tc>
      </w:tr>
    </w:tbl>
    <w:p w:rsidR="006A39EB" w:rsidRDefault="006A39EB">
      <w:pPr>
        <w:jc w:val="center"/>
        <w:rPr>
          <w:rFonts w:asciiTheme="minorHAnsi" w:hAnsiTheme="minorHAnsi" w:cs="Arial"/>
          <w:sz w:val="22"/>
          <w:szCs w:val="22"/>
        </w:rPr>
      </w:pPr>
      <w:bookmarkStart w:id="0" w:name="_GoBack"/>
      <w:bookmarkEnd w:id="0"/>
    </w:p>
    <w:sectPr w:rsidR="006A39EB" w:rsidSect="0050474F">
      <w:headerReference w:type="default" r:id="rId8"/>
      <w:footerReference w:type="default" r:id="rId9"/>
      <w:pgSz w:w="11906" w:h="16838"/>
      <w:pgMar w:top="2268" w:right="851" w:bottom="851" w:left="1701" w:header="340" w:footer="17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A29" w:rsidRDefault="00FE3A29">
      <w:r>
        <w:separator/>
      </w:r>
    </w:p>
  </w:endnote>
  <w:endnote w:type="continuationSeparator" w:id="0">
    <w:p w:rsidR="00FE3A29" w:rsidRDefault="00FE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0531519"/>
      <w:docPartObj>
        <w:docPartGallery w:val="Page Numbers (Bottom of Page)"/>
        <w:docPartUnique/>
      </w:docPartObj>
    </w:sdtPr>
    <w:sdtEndPr/>
    <w:sdtContent>
      <w:p w:rsidR="006A39EB" w:rsidRDefault="00AE4E99">
        <w:pPr>
          <w:pStyle w:val="Rodap"/>
          <w:jc w:val="right"/>
        </w:pPr>
        <w:r>
          <w:rPr>
            <w:sz w:val="16"/>
          </w:rPr>
          <w:fldChar w:fldCharType="begin"/>
        </w:r>
        <w:r>
          <w:rPr>
            <w:sz w:val="16"/>
          </w:rPr>
          <w:instrText>PAGE</w:instrText>
        </w:r>
        <w:r>
          <w:rPr>
            <w:sz w:val="16"/>
          </w:rPr>
          <w:fldChar w:fldCharType="separate"/>
        </w:r>
        <w:r w:rsidR="002B0401">
          <w:rPr>
            <w:noProof/>
            <w:sz w:val="16"/>
          </w:rPr>
          <w:t>9</w:t>
        </w:r>
        <w:r>
          <w:rPr>
            <w:sz w:val="16"/>
          </w:rPr>
          <w:fldChar w:fldCharType="end"/>
        </w:r>
      </w:p>
    </w:sdtContent>
  </w:sdt>
  <w:p w:rsidR="006A39EB" w:rsidRDefault="006A39E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A29" w:rsidRDefault="00FE3A29">
      <w:r>
        <w:separator/>
      </w:r>
    </w:p>
  </w:footnote>
  <w:footnote w:type="continuationSeparator" w:id="0">
    <w:p w:rsidR="00FE3A29" w:rsidRDefault="00FE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9EB" w:rsidRDefault="00AE4E99">
    <w:pPr>
      <w:pStyle w:val="Cabealho"/>
      <w:ind w:left="-993" w:right="-567"/>
      <w:jc w:val="center"/>
      <w:rPr>
        <w:sz w:val="16"/>
      </w:rPr>
    </w:pPr>
    <w:r>
      <w:rPr>
        <w:noProof/>
        <w:lang w:eastAsia="pt-BR"/>
      </w:rPr>
      <w:drawing>
        <wp:inline distT="0" distB="0" distL="0" distR="0">
          <wp:extent cx="827405" cy="816610"/>
          <wp:effectExtent l="0" t="0" r="0" b="0"/>
          <wp:docPr id="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1"/>
                  <pic:cNvPicPr>
                    <a:picLocks noChangeAspect="1" noChangeArrowheads="1"/>
                  </pic:cNvPicPr>
                </pic:nvPicPr>
                <pic:blipFill>
                  <a:blip r:embed="rId1"/>
                  <a:stretch>
                    <a:fillRect/>
                  </a:stretch>
                </pic:blipFill>
                <pic:spPr bwMode="auto">
                  <a:xfrm>
                    <a:off x="0" y="0"/>
                    <a:ext cx="827405" cy="816610"/>
                  </a:xfrm>
                  <a:prstGeom prst="rect">
                    <a:avLst/>
                  </a:prstGeom>
                </pic:spPr>
              </pic:pic>
            </a:graphicData>
          </a:graphic>
        </wp:inline>
      </w:drawing>
    </w:r>
  </w:p>
  <w:p w:rsidR="006A39EB" w:rsidRDefault="006A39EB">
    <w:pPr>
      <w:pStyle w:val="Cabealho"/>
      <w:ind w:left="-993" w:right="-567"/>
      <w:jc w:val="center"/>
      <w:rPr>
        <w:sz w:val="16"/>
      </w:rPr>
    </w:pPr>
  </w:p>
  <w:p w:rsidR="006A39EB" w:rsidRDefault="00AE4E99">
    <w:pPr>
      <w:pStyle w:val="Cabealho"/>
      <w:jc w:val="center"/>
      <w:rPr>
        <w:rFonts w:ascii="Calibri" w:hAnsi="Calibri" w:cs="Calibri"/>
        <w:b/>
      </w:rPr>
    </w:pPr>
    <w:r>
      <w:rPr>
        <w:rFonts w:ascii="Calibri" w:hAnsi="Calibri" w:cs="Calibri"/>
        <w:b/>
      </w:rPr>
      <w:t>SERVIÇO PÚBLICO FEDERAL</w:t>
    </w:r>
  </w:p>
  <w:p w:rsidR="006A39EB" w:rsidRDefault="00AE4E99">
    <w:pPr>
      <w:pStyle w:val="Cabealho"/>
      <w:jc w:val="center"/>
      <w:rPr>
        <w:rFonts w:ascii="Arial" w:hAnsi="Arial"/>
        <w:color w:val="296D7A"/>
        <w:sz w:val="22"/>
      </w:rPr>
    </w:pPr>
    <w:r>
      <w:rPr>
        <w:rFonts w:ascii="Calibri" w:hAnsi="Calibri" w:cs="Calibri"/>
        <w:b/>
      </w:rPr>
      <w:t>CONSELHO DE ARQUITETURA E URBANISMO DO RIO GRANDE DO SUL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966F4"/>
    <w:multiLevelType w:val="hybridMultilevel"/>
    <w:tmpl w:val="B256FACE"/>
    <w:lvl w:ilvl="0" w:tplc="858CEEFA">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2B504E04"/>
    <w:multiLevelType w:val="multilevel"/>
    <w:tmpl w:val="4F340D9C"/>
    <w:lvl w:ilvl="0">
      <w:start w:val="1"/>
      <w:numFmt w:val="decimal"/>
      <w:lvlText w:val="Art. %1º."/>
      <w:lvlJc w:val="left"/>
      <w:pPr>
        <w:ind w:left="1428" w:hanging="360"/>
      </w:pPr>
      <w:rPr>
        <w:b/>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 w15:restartNumberingAfterBreak="0">
    <w:nsid w:val="2DF0013B"/>
    <w:multiLevelType w:val="multilevel"/>
    <w:tmpl w:val="B67C644A"/>
    <w:lvl w:ilvl="0">
      <w:start w:val="1"/>
      <w:numFmt w:val="decimal"/>
      <w:lvlText w:val="Art. %1º."/>
      <w:lvlJc w:val="left"/>
      <w:pPr>
        <w:ind w:left="1428" w:hanging="360"/>
      </w:pPr>
      <w:rPr>
        <w:b/>
      </w:rPr>
    </w:lvl>
    <w:lvl w:ilvl="1">
      <w:start w:val="10"/>
      <w:numFmt w:val="decimal"/>
      <w:lvlText w:val="Art. %2."/>
      <w:lvlJc w:val="left"/>
      <w:pPr>
        <w:ind w:left="2148" w:hanging="360"/>
      </w:pPr>
      <w:rPr>
        <w:b/>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4ABD053F"/>
    <w:multiLevelType w:val="hybridMultilevel"/>
    <w:tmpl w:val="DF5C67D4"/>
    <w:lvl w:ilvl="0" w:tplc="66A8C76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1F26513"/>
    <w:multiLevelType w:val="hybridMultilevel"/>
    <w:tmpl w:val="87BE2E7C"/>
    <w:lvl w:ilvl="0" w:tplc="6E10BA9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587B2D57"/>
    <w:multiLevelType w:val="multilevel"/>
    <w:tmpl w:val="24B228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67626067"/>
    <w:multiLevelType w:val="multilevel"/>
    <w:tmpl w:val="204423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1D0141E"/>
    <w:multiLevelType w:val="hybridMultilevel"/>
    <w:tmpl w:val="D802782C"/>
    <w:lvl w:ilvl="0" w:tplc="F6F012AC">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1"/>
  </w:num>
  <w:num w:numId="2">
    <w:abstractNumId w:val="2"/>
  </w:num>
  <w:num w:numId="3">
    <w:abstractNumId w:val="6"/>
  </w:num>
  <w:num w:numId="4">
    <w:abstractNumId w:val="5"/>
  </w:num>
  <w:num w:numId="5">
    <w:abstractNumId w:val="0"/>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embedSystemFont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EB"/>
    <w:rsid w:val="000921B0"/>
    <w:rsid w:val="002B0401"/>
    <w:rsid w:val="00420374"/>
    <w:rsid w:val="00502D5C"/>
    <w:rsid w:val="0050474F"/>
    <w:rsid w:val="006A39EB"/>
    <w:rsid w:val="00A30F05"/>
    <w:rsid w:val="00AE4E99"/>
    <w:rsid w:val="00B6450F"/>
    <w:rsid w:val="00C24767"/>
    <w:rsid w:val="00FE3A2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BC2286-BB80-4397-9DD0-B8C271BA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paragraph" w:styleId="Ttulo2">
    <w:name w:val="heading 2"/>
    <w:basedOn w:val="Normal"/>
    <w:next w:val="Normal"/>
    <w:link w:val="Ttulo2Char"/>
    <w:qFormat/>
    <w:rsid w:val="000C2A04"/>
    <w:pPr>
      <w:keepNext/>
      <w:shd w:val="clear" w:color="auto" w:fill="CCCCCC"/>
      <w:tabs>
        <w:tab w:val="left" w:pos="0"/>
      </w:tabs>
      <w:ind w:left="-709"/>
      <w:jc w:val="center"/>
      <w:outlineLvl w:val="1"/>
    </w:pPr>
    <w:rPr>
      <w:rFonts w:ascii="Arial" w:eastAsia="Times New Roman" w:hAnsi="Arial"/>
      <w:b/>
      <w:sz w:val="22"/>
      <w:szCs w:val="20"/>
    </w:rPr>
  </w:style>
  <w:style w:type="paragraph" w:styleId="Ttulo3">
    <w:name w:val="heading 3"/>
    <w:basedOn w:val="Normal"/>
    <w:next w:val="Normal"/>
    <w:link w:val="Ttulo3Char"/>
    <w:semiHidden/>
    <w:unhideWhenUsed/>
    <w:qFormat/>
    <w:rsid w:val="00932EBA"/>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qFormat/>
    <w:rsid w:val="00C55B31"/>
  </w:style>
  <w:style w:type="character" w:customStyle="1" w:styleId="RodapChar">
    <w:name w:val="Rodapé Char"/>
    <w:basedOn w:val="Fontepargpadro"/>
    <w:link w:val="Rodap"/>
    <w:uiPriority w:val="99"/>
    <w:qFormat/>
    <w:rsid w:val="00C55B31"/>
  </w:style>
  <w:style w:type="character" w:styleId="Forte">
    <w:name w:val="Strong"/>
    <w:uiPriority w:val="22"/>
    <w:qFormat/>
    <w:rsid w:val="00C55B31"/>
    <w:rPr>
      <w:b/>
    </w:rPr>
  </w:style>
  <w:style w:type="character" w:customStyle="1" w:styleId="apple-converted-space">
    <w:name w:val="apple-converted-space"/>
    <w:basedOn w:val="Fontepargpadro"/>
    <w:qFormat/>
    <w:rsid w:val="00C55B31"/>
  </w:style>
  <w:style w:type="character" w:styleId="nfase">
    <w:name w:val="Emphasis"/>
    <w:uiPriority w:val="20"/>
    <w:qFormat/>
    <w:rsid w:val="00C55B31"/>
    <w:rPr>
      <w:i/>
    </w:rPr>
  </w:style>
  <w:style w:type="character" w:customStyle="1" w:styleId="LinkdaInternet">
    <w:name w:val="Link da Internet"/>
    <w:uiPriority w:val="99"/>
    <w:semiHidden/>
    <w:unhideWhenUsed/>
    <w:rsid w:val="003B4628"/>
    <w:rPr>
      <w:color w:val="0000FF"/>
      <w:u w:val="single"/>
    </w:rPr>
  </w:style>
  <w:style w:type="character" w:customStyle="1" w:styleId="CorpodetextoChar">
    <w:name w:val="Corpo de texto Char"/>
    <w:link w:val="Corpodetexto"/>
    <w:qFormat/>
    <w:rsid w:val="00A4008C"/>
    <w:rPr>
      <w:rFonts w:ascii="Times New Roman" w:eastAsia="Times New Roman" w:hAnsi="Times New Roman"/>
      <w:sz w:val="24"/>
    </w:rPr>
  </w:style>
  <w:style w:type="character" w:customStyle="1" w:styleId="Corpodetexto3Char">
    <w:name w:val="Corpo de texto 3 Char"/>
    <w:link w:val="Corpodetexto3"/>
    <w:qFormat/>
    <w:rsid w:val="00A4008C"/>
    <w:rPr>
      <w:rFonts w:ascii="Times New Roman" w:eastAsia="Times New Roman" w:hAnsi="Times New Roman"/>
      <w:sz w:val="24"/>
    </w:rPr>
  </w:style>
  <w:style w:type="character" w:customStyle="1" w:styleId="Recuodecorpodetexto2Char">
    <w:name w:val="Recuo de corpo de texto 2 Char"/>
    <w:link w:val="Recuodecorpodetexto2"/>
    <w:qFormat/>
    <w:rsid w:val="00FD4D89"/>
    <w:rPr>
      <w:sz w:val="24"/>
      <w:szCs w:val="24"/>
      <w:lang w:eastAsia="en-US"/>
    </w:rPr>
  </w:style>
  <w:style w:type="character" w:customStyle="1" w:styleId="TextosemFormataoChar">
    <w:name w:val="Texto sem Formatação Char"/>
    <w:link w:val="TextosemFormatao"/>
    <w:qFormat/>
    <w:rsid w:val="004F7702"/>
    <w:rPr>
      <w:rFonts w:ascii="Courier New" w:eastAsia="Times New Roman" w:hAnsi="Courier New"/>
    </w:rPr>
  </w:style>
  <w:style w:type="character" w:customStyle="1" w:styleId="Ttulo2Char">
    <w:name w:val="Título 2 Char"/>
    <w:basedOn w:val="Fontepargpadro"/>
    <w:link w:val="Ttulo2"/>
    <w:qFormat/>
    <w:rsid w:val="000C2A04"/>
    <w:rPr>
      <w:rFonts w:ascii="Arial" w:eastAsia="Times New Roman" w:hAnsi="Arial"/>
      <w:b/>
      <w:sz w:val="22"/>
      <w:shd w:val="clear" w:color="auto" w:fill="CCCCCC"/>
      <w:lang w:eastAsia="en-US"/>
    </w:rPr>
  </w:style>
  <w:style w:type="character" w:customStyle="1" w:styleId="TextodebaloChar">
    <w:name w:val="Texto de balão Char"/>
    <w:basedOn w:val="Fontepargpadro"/>
    <w:link w:val="Textodebalo"/>
    <w:qFormat/>
    <w:rsid w:val="000C2A04"/>
    <w:rPr>
      <w:rFonts w:ascii="Tahoma" w:hAnsi="Tahoma" w:cs="Tahoma"/>
      <w:sz w:val="16"/>
      <w:szCs w:val="16"/>
      <w:lang w:eastAsia="en-US"/>
    </w:rPr>
  </w:style>
  <w:style w:type="character" w:styleId="Refdecomentrio">
    <w:name w:val="annotation reference"/>
    <w:basedOn w:val="Fontepargpadro"/>
    <w:uiPriority w:val="99"/>
    <w:unhideWhenUsed/>
    <w:qFormat/>
    <w:rsid w:val="00CC0240"/>
    <w:rPr>
      <w:sz w:val="16"/>
      <w:szCs w:val="16"/>
    </w:rPr>
  </w:style>
  <w:style w:type="character" w:customStyle="1" w:styleId="TextodecomentrioChar">
    <w:name w:val="Texto de comentário Char"/>
    <w:basedOn w:val="Fontepargpadro"/>
    <w:link w:val="Textodecomentrio"/>
    <w:uiPriority w:val="99"/>
    <w:qFormat/>
    <w:rsid w:val="00CC0240"/>
    <w:rPr>
      <w:rFonts w:asciiTheme="minorHAnsi" w:eastAsiaTheme="minorHAnsi" w:hAnsiTheme="minorHAnsi" w:cstheme="minorBidi"/>
      <w:lang w:eastAsia="en-US"/>
    </w:rPr>
  </w:style>
  <w:style w:type="character" w:customStyle="1" w:styleId="Linkdainternetvisitado">
    <w:name w:val="Link da internet visitado"/>
    <w:basedOn w:val="Fontepargpadro"/>
    <w:rsid w:val="00CC0240"/>
    <w:rPr>
      <w:color w:val="800080" w:themeColor="followedHyperlink"/>
      <w:u w:val="single"/>
    </w:rPr>
  </w:style>
  <w:style w:type="character" w:customStyle="1" w:styleId="AssuntodocomentrioChar">
    <w:name w:val="Assunto do comentário Char"/>
    <w:basedOn w:val="TextodecomentrioChar"/>
    <w:link w:val="Assuntodocomentrio"/>
    <w:qFormat/>
    <w:rsid w:val="001006BB"/>
    <w:rPr>
      <w:rFonts w:asciiTheme="minorHAnsi" w:eastAsiaTheme="minorHAnsi" w:hAnsiTheme="minorHAnsi" w:cstheme="minorBidi"/>
      <w:b/>
      <w:bCs/>
      <w:lang w:eastAsia="en-US"/>
    </w:rPr>
  </w:style>
  <w:style w:type="character" w:customStyle="1" w:styleId="Ttulo3Char">
    <w:name w:val="Título 3 Char"/>
    <w:basedOn w:val="Fontepargpadro"/>
    <w:link w:val="Ttulo3"/>
    <w:semiHidden/>
    <w:qFormat/>
    <w:rsid w:val="00932EBA"/>
    <w:rPr>
      <w:rFonts w:asciiTheme="majorHAnsi" w:eastAsiaTheme="majorEastAsia" w:hAnsiTheme="majorHAnsi" w:cstheme="majorBidi"/>
      <w:b/>
      <w:bCs/>
      <w:color w:val="4F81BD" w:themeColor="accent1"/>
      <w:sz w:val="24"/>
      <w:szCs w:val="24"/>
      <w:lang w:eastAsia="en-U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A4008C"/>
    <w:pPr>
      <w:spacing w:after="120"/>
    </w:pPr>
    <w:rPr>
      <w:rFonts w:ascii="Times New Roman" w:eastAsia="Times New Roman" w:hAnsi="Times New Roman"/>
      <w:szCs w:val="20"/>
      <w:lang w:val="x-none" w:eastAsia="x-none"/>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nhideWhenUsed/>
    <w:rsid w:val="00C55B31"/>
    <w:pPr>
      <w:tabs>
        <w:tab w:val="center" w:pos="4320"/>
        <w:tab w:val="right" w:pos="8640"/>
      </w:tabs>
    </w:pPr>
  </w:style>
  <w:style w:type="paragraph" w:styleId="Rodap">
    <w:name w:val="footer"/>
    <w:basedOn w:val="Normal"/>
    <w:link w:val="RodapChar"/>
    <w:uiPriority w:val="99"/>
    <w:unhideWhenUsed/>
    <w:rsid w:val="00C55B31"/>
    <w:pPr>
      <w:tabs>
        <w:tab w:val="center" w:pos="4320"/>
        <w:tab w:val="right" w:pos="8640"/>
      </w:tabs>
    </w:pPr>
  </w:style>
  <w:style w:type="paragraph" w:styleId="NormalWeb">
    <w:name w:val="Normal (Web)"/>
    <w:basedOn w:val="Normal"/>
    <w:uiPriority w:val="99"/>
    <w:qFormat/>
    <w:rsid w:val="00C55B31"/>
    <w:rPr>
      <w:rFonts w:ascii="Times" w:hAnsi="Times"/>
      <w:sz w:val="20"/>
      <w:szCs w:val="20"/>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paragraph" w:customStyle="1" w:styleId="Contedodatabela">
    <w:name w:val="Conteúdo da tabela"/>
    <w:basedOn w:val="Normal"/>
    <w:qFormat/>
    <w:rsid w:val="00B34695"/>
    <w:pPr>
      <w:suppressLineNumbers/>
    </w:pPr>
    <w:rPr>
      <w:rFonts w:ascii="Times New Roman" w:eastAsia="Times New Roman" w:hAnsi="Times New Roman"/>
      <w:sz w:val="20"/>
      <w:szCs w:val="20"/>
    </w:rPr>
  </w:style>
  <w:style w:type="paragraph" w:styleId="Corpodetexto3">
    <w:name w:val="Body Text 3"/>
    <w:basedOn w:val="Normal"/>
    <w:link w:val="Corpodetexto3Char"/>
    <w:qFormat/>
    <w:rsid w:val="00A4008C"/>
    <w:pPr>
      <w:jc w:val="both"/>
    </w:pPr>
    <w:rPr>
      <w:rFonts w:ascii="Times New Roman" w:eastAsia="Times New Roman" w:hAnsi="Times New Roman"/>
      <w:szCs w:val="20"/>
      <w:lang w:val="x-none" w:eastAsia="x-none"/>
    </w:rPr>
  </w:style>
  <w:style w:type="paragraph" w:styleId="Recuodecorpodetexto2">
    <w:name w:val="Body Text Indent 2"/>
    <w:basedOn w:val="Normal"/>
    <w:link w:val="Recuodecorpodetexto2Char"/>
    <w:qFormat/>
    <w:rsid w:val="00FD4D89"/>
    <w:pPr>
      <w:spacing w:after="120" w:line="480" w:lineRule="auto"/>
      <w:ind w:left="283"/>
    </w:pPr>
  </w:style>
  <w:style w:type="paragraph" w:styleId="TextosemFormatao">
    <w:name w:val="Plain Text"/>
    <w:basedOn w:val="Normal"/>
    <w:link w:val="TextosemFormataoChar"/>
    <w:qFormat/>
    <w:rsid w:val="004F7702"/>
    <w:rPr>
      <w:rFonts w:ascii="Courier New" w:eastAsia="Times New Roman" w:hAnsi="Courier New"/>
      <w:sz w:val="20"/>
      <w:szCs w:val="20"/>
      <w:lang w:eastAsia="pt-BR"/>
    </w:rPr>
  </w:style>
  <w:style w:type="paragraph" w:styleId="SemEspaamento">
    <w:name w:val="No Spacing"/>
    <w:qFormat/>
    <w:rsid w:val="00957C9C"/>
    <w:rPr>
      <w:sz w:val="24"/>
      <w:szCs w:val="24"/>
      <w:lang w:eastAsia="en-US"/>
    </w:rPr>
  </w:style>
  <w:style w:type="paragraph" w:styleId="Textodebalo">
    <w:name w:val="Balloon Text"/>
    <w:basedOn w:val="Normal"/>
    <w:link w:val="TextodebaloChar"/>
    <w:qFormat/>
    <w:rsid w:val="000C2A04"/>
    <w:rPr>
      <w:rFonts w:ascii="Tahoma" w:hAnsi="Tahoma" w:cs="Tahoma"/>
      <w:sz w:val="16"/>
      <w:szCs w:val="16"/>
    </w:rPr>
  </w:style>
  <w:style w:type="paragraph" w:styleId="Textodecomentrio">
    <w:name w:val="annotation text"/>
    <w:basedOn w:val="Normal"/>
    <w:link w:val="TextodecomentrioChar"/>
    <w:uiPriority w:val="99"/>
    <w:unhideWhenUsed/>
    <w:qFormat/>
    <w:rsid w:val="00CC0240"/>
    <w:pPr>
      <w:spacing w:after="200"/>
    </w:pPr>
    <w:rPr>
      <w:rFonts w:asciiTheme="minorHAnsi" w:eastAsiaTheme="minorHAnsi" w:hAnsiTheme="minorHAnsi" w:cstheme="minorBidi"/>
      <w:sz w:val="20"/>
      <w:szCs w:val="20"/>
    </w:rPr>
  </w:style>
  <w:style w:type="paragraph" w:styleId="Assuntodocomentrio">
    <w:name w:val="annotation subject"/>
    <w:basedOn w:val="Textodecomentrio"/>
    <w:next w:val="Textodecomentrio"/>
    <w:link w:val="AssuntodocomentrioChar"/>
    <w:qFormat/>
    <w:rsid w:val="001006BB"/>
    <w:pPr>
      <w:spacing w:after="0"/>
    </w:pPr>
    <w:rPr>
      <w:rFonts w:ascii="Cambria" w:eastAsia="Cambria" w:hAnsi="Cambria" w:cs="Times New Roman"/>
      <w:b/>
      <w:bCs/>
    </w:rPr>
  </w:style>
  <w:style w:type="table" w:customStyle="1" w:styleId="CitaoIntensa1">
    <w:name w:val="Citação Intensa1"/>
    <w:basedOn w:val="Tabelanormal"/>
    <w:uiPriority w:val="60"/>
    <w:qFormat/>
    <w:rsid w:val="00C55B31"/>
    <w:rPr>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elacomgrade">
    <w:name w:val="Table Grid"/>
    <w:basedOn w:val="Tabelanormal"/>
    <w:uiPriority w:val="59"/>
    <w:rsid w:val="005671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A30F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501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A9C2-6704-49DF-9732-47B02F70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2325</Words>
  <Characters>12556</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Comunica</Company>
  <LinksUpToDate>false</LinksUpToDate>
  <CharactersWithSpaces>14852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dc:creator>
  <cp:lastModifiedBy>Josiane Cristina Bernardi</cp:lastModifiedBy>
  <cp:revision>2</cp:revision>
  <cp:lastPrinted>2017-02-23T16:14:00Z</cp:lastPrinted>
  <dcterms:created xsi:type="dcterms:W3CDTF">2020-06-30T22:07:00Z</dcterms:created>
  <dcterms:modified xsi:type="dcterms:W3CDTF">2020-06-30T22:07:00Z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Comunica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