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7E112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7E112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357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702DE5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Content>
                <w:r w:rsidR="007E1120" w:rsidRPr="007E1120">
                  <w:rPr>
                    <w:rFonts w:asciiTheme="minorHAnsi" w:hAnsiTheme="minorHAnsi" w:cs="Arial"/>
                    <w:sz w:val="22"/>
                    <w:szCs w:val="22"/>
                  </w:rPr>
                  <w:t>contratação de Serviço de Auditoria Independente para o CAU/RS.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537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7E1120" w:rsidRDefault="00702DE5" w:rsidP="007E1120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702DE5">
            <w:rPr>
              <w:rFonts w:asciiTheme="minorHAnsi" w:hAnsiTheme="minorHAnsi" w:cs="Arial"/>
              <w:sz w:val="22"/>
              <w:szCs w:val="22"/>
            </w:rPr>
            <w:t>Con</w:t>
          </w:r>
          <w:r w:rsidR="007E1120">
            <w:rPr>
              <w:rFonts w:asciiTheme="minorHAnsi" w:hAnsiTheme="minorHAnsi" w:cs="Arial"/>
              <w:sz w:val="22"/>
              <w:szCs w:val="22"/>
            </w:rPr>
            <w:t xml:space="preserve">siderando </w:t>
          </w:r>
          <w:r w:rsidR="002D1CB5">
            <w:rPr>
              <w:rFonts w:asciiTheme="minorHAnsi" w:hAnsiTheme="minorHAnsi" w:cs="Arial"/>
              <w:sz w:val="22"/>
              <w:szCs w:val="22"/>
            </w:rPr>
            <w:t xml:space="preserve">a </w:t>
          </w:r>
          <w:r w:rsidR="002D1CB5" w:rsidRPr="002D1CB5">
            <w:rPr>
              <w:rFonts w:asciiTheme="minorHAnsi" w:hAnsiTheme="minorHAnsi" w:cs="Arial"/>
              <w:sz w:val="22"/>
              <w:szCs w:val="22"/>
            </w:rPr>
            <w:t>necessidade</w:t>
          </w:r>
          <w:r w:rsidR="002D1CB5">
            <w:rPr>
              <w:rFonts w:asciiTheme="minorHAnsi" w:hAnsiTheme="minorHAnsi" w:cs="Arial"/>
              <w:sz w:val="22"/>
              <w:szCs w:val="22"/>
            </w:rPr>
            <w:t xml:space="preserve"> de </w:t>
          </w:r>
          <w:r w:rsidR="002D1CB5" w:rsidRPr="002D1CB5">
            <w:rPr>
              <w:rFonts w:asciiTheme="minorHAnsi" w:hAnsiTheme="minorHAnsi" w:cs="Arial"/>
              <w:sz w:val="22"/>
              <w:szCs w:val="22"/>
            </w:rPr>
            <w:t>preven</w:t>
          </w:r>
          <w:r w:rsidR="002D1CB5">
            <w:rPr>
              <w:rFonts w:asciiTheme="minorHAnsi" w:hAnsiTheme="minorHAnsi" w:cs="Arial"/>
              <w:sz w:val="22"/>
              <w:szCs w:val="22"/>
            </w:rPr>
            <w:t xml:space="preserve">ção de </w:t>
          </w:r>
          <w:r w:rsidR="002D1CB5" w:rsidRPr="002D1CB5">
            <w:rPr>
              <w:rFonts w:asciiTheme="minorHAnsi" w:hAnsiTheme="minorHAnsi" w:cs="Arial"/>
              <w:sz w:val="22"/>
              <w:szCs w:val="22"/>
            </w:rPr>
            <w:t>apontamentos por parte da auditoria externa realizada pelo CAU/BR</w:t>
          </w:r>
          <w:r w:rsidR="002D1CB5">
            <w:rPr>
              <w:rFonts w:asciiTheme="minorHAnsi" w:hAnsiTheme="minorHAnsi" w:cs="Arial"/>
              <w:sz w:val="22"/>
              <w:szCs w:val="22"/>
            </w:rPr>
            <w:t>;</w:t>
          </w:r>
        </w:p>
        <w:p w:rsidR="00173F74" w:rsidRDefault="00063783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063783">
            <w:rPr>
              <w:rFonts w:asciiTheme="minorHAnsi" w:hAnsiTheme="minorHAnsi" w:cs="Arial"/>
              <w:sz w:val="22"/>
              <w:szCs w:val="22"/>
            </w:rPr>
            <w:t>Considerando</w:t>
          </w:r>
          <w:r>
            <w:rPr>
              <w:rFonts w:asciiTheme="minorHAnsi" w:hAnsiTheme="minorHAnsi" w:cs="Arial"/>
              <w:sz w:val="22"/>
              <w:szCs w:val="22"/>
            </w:rPr>
            <w:t xml:space="preserve"> a importância de </w:t>
          </w:r>
          <w:r w:rsidRPr="00063783">
            <w:rPr>
              <w:rFonts w:asciiTheme="minorHAnsi" w:hAnsiTheme="minorHAnsi" w:cs="Arial"/>
              <w:sz w:val="22"/>
              <w:szCs w:val="22"/>
            </w:rPr>
            <w:t>diagnosticar acertos e possíveis pontos de melhoria em processos administrativos e em procedimentos de diversas áreas do conselho como RH, TI, Finan</w:t>
          </w:r>
          <w:r>
            <w:rPr>
              <w:rFonts w:asciiTheme="minorHAnsi" w:hAnsiTheme="minorHAnsi" w:cs="Arial"/>
              <w:sz w:val="22"/>
              <w:szCs w:val="22"/>
            </w:rPr>
            <w:t xml:space="preserve">ceiro, e Licitações e </w:t>
          </w:r>
          <w:proofErr w:type="gramStart"/>
          <w:r>
            <w:rPr>
              <w:rFonts w:asciiTheme="minorHAnsi" w:hAnsiTheme="minorHAnsi" w:cs="Arial"/>
              <w:sz w:val="22"/>
              <w:szCs w:val="22"/>
            </w:rPr>
            <w:t>Contratos</w:t>
          </w:r>
          <w:r w:rsidR="00702DE5">
            <w:rPr>
              <w:rFonts w:asciiTheme="minorHAnsi" w:hAnsiTheme="minorHAnsi" w:cs="Arial"/>
              <w:sz w:val="22"/>
              <w:szCs w:val="22"/>
            </w:rPr>
            <w:t>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063783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Content>
          <w:r w:rsidR="00063783" w:rsidRPr="00063783">
            <w:rPr>
              <w:rFonts w:asciiTheme="minorHAnsi" w:hAnsiTheme="minorHAnsi" w:cs="Arial"/>
            </w:rPr>
            <w:t>contratação de Serviço de Auditoria Independente para o CAU/RS.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>0</w:t>
          </w:r>
          <w:r w:rsidR="00063783">
            <w:rPr>
              <w:rFonts w:asciiTheme="minorHAnsi" w:hAnsiTheme="minorHAnsi" w:cs="Arial"/>
            </w:rPr>
            <w:t>44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063783">
            <w:rPr>
              <w:rFonts w:asciiTheme="minorHAnsi" w:hAnsiTheme="minorHAnsi" w:cs="Arial"/>
            </w:rPr>
            <w:t>115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17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A11F93" w:rsidRPr="003A417F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374A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27" w:rsidRDefault="001D3927">
      <w:r>
        <w:separator/>
      </w:r>
    </w:p>
  </w:endnote>
  <w:endnote w:type="continuationSeparator" w:id="0">
    <w:p w:rsidR="001D3927" w:rsidRDefault="001D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27" w:rsidRDefault="001D3927">
      <w:r>
        <w:separator/>
      </w:r>
    </w:p>
  </w:footnote>
  <w:footnote w:type="continuationSeparator" w:id="0">
    <w:p w:rsidR="001D3927" w:rsidRDefault="001D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63783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1D3927"/>
    <w:rsid w:val="002430E6"/>
    <w:rsid w:val="00290404"/>
    <w:rsid w:val="002A205C"/>
    <w:rsid w:val="002B3B78"/>
    <w:rsid w:val="002B5D0E"/>
    <w:rsid w:val="002D1CB5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1120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872442"/>
    <w:rsid w:val="008E1DA5"/>
    <w:rsid w:val="0094031F"/>
    <w:rsid w:val="00A5005F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2015-06-26T17:27:00Z</dcterms:modified>
</cp:coreProperties>
</file>