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8153E2" w:rsidRPr="00164DA0" w:rsidTr="000367AB">
        <w:trPr>
          <w:trHeight w:hRule="exact" w:val="284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153E2" w:rsidRPr="00FD3A42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3A42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</w:tcPr>
          <w:p w:rsidR="008153E2" w:rsidRPr="00FD3A42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FD3A42">
              <w:rPr>
                <w:rFonts w:ascii="Times New Roman" w:hAnsi="Times New Roman"/>
                <w:sz w:val="22"/>
                <w:szCs w:val="22"/>
              </w:rPr>
              <w:t>077/2016</w:t>
            </w:r>
          </w:p>
        </w:tc>
      </w:tr>
      <w:tr w:rsidR="008153E2" w:rsidRPr="00164DA0" w:rsidTr="000367AB">
        <w:trPr>
          <w:trHeight w:hRule="exact" w:val="284"/>
        </w:trPr>
        <w:tc>
          <w:tcPr>
            <w:tcW w:w="1809" w:type="dxa"/>
            <w:tcBorders>
              <w:top w:val="single" w:sz="8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7120" w:type="dxa"/>
            <w:tcBorders>
              <w:top w:val="single" w:sz="8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153E2" w:rsidRPr="00164DA0" w:rsidTr="000367AB">
        <w:trPr>
          <w:trHeight w:hRule="exact" w:val="284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Aquisição de imóveis no Centro Empresarial La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Défense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, para </w:t>
            </w:r>
            <w:proofErr w:type="spellStart"/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ExexEXPANeXPAexpansão</w:t>
            </w:r>
            <w:r w:rsidRPr="00164DA0">
              <w:rPr>
                <w:rFonts w:ascii="Times New Roman" w:hAnsi="Times New Roman"/>
                <w:sz w:val="22"/>
                <w:szCs w:val="22"/>
              </w:rPr>
              <w:t>Criação</w:t>
            </w:r>
            <w:proofErr w:type="spellEnd"/>
            <w:proofErr w:type="gramEnd"/>
            <w:r w:rsidRPr="00164DA0">
              <w:rPr>
                <w:rFonts w:ascii="Times New Roman" w:hAnsi="Times New Roman"/>
                <w:sz w:val="22"/>
                <w:szCs w:val="22"/>
              </w:rPr>
              <w:t xml:space="preserve"> de Novos Cargos para o CAU/RS</w:t>
            </w:r>
          </w:p>
        </w:tc>
      </w:tr>
      <w:tr w:rsidR="008153E2" w:rsidRPr="00164DA0" w:rsidTr="000367AB">
        <w:trPr>
          <w:trHeight w:hRule="exact" w:val="284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:rsidR="008153E2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Expansão da Sede do CAU/RS</w:t>
            </w:r>
          </w:p>
        </w:tc>
      </w:tr>
      <w:tr w:rsidR="008153E2" w:rsidRPr="00164DA0" w:rsidTr="000367AB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8153E2" w:rsidRPr="00164DA0" w:rsidRDefault="008153E2" w:rsidP="000367A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b/>
                <w:sz w:val="22"/>
                <w:szCs w:val="22"/>
              </w:rPr>
              <w:t>DELIBERAÇÃO Nº 00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>5</w:t>
            </w:r>
            <w:r w:rsidRPr="00164DA0">
              <w:rPr>
                <w:rFonts w:ascii="Times New Roman" w:hAnsi="Times New Roman"/>
                <w:b/>
                <w:sz w:val="22"/>
                <w:szCs w:val="22"/>
              </w:rPr>
              <w:t>/2016 – COA-CAU/RS</w:t>
            </w:r>
          </w:p>
        </w:tc>
      </w:tr>
    </w:tbl>
    <w:p w:rsidR="008153E2" w:rsidRPr="00164DA0" w:rsidRDefault="008153E2" w:rsidP="008153E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153E2" w:rsidRPr="00164DA0" w:rsidRDefault="008153E2" w:rsidP="008153E2">
      <w:pPr>
        <w:tabs>
          <w:tab w:val="left" w:pos="2835"/>
        </w:tabs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164DA0">
        <w:rPr>
          <w:rFonts w:ascii="Times New Roman" w:hAnsi="Times New Roman"/>
          <w:sz w:val="22"/>
          <w:szCs w:val="22"/>
        </w:rPr>
        <w:t xml:space="preserve">A COMISSÃO DE ORGANIZAÇÃO E ADMINISTRAÇÃO – COA-CAU/RS, reunida ordinariamente em Porto Alegre – RS, na sede do CAU/RS, no dia 04 de janeiro de 2016, conforme disposto nos artigos 43 e 44, do Regimento Interno do CAU/RS, após análise do assunto em epígrafe, </w:t>
      </w:r>
    </w:p>
    <w:p w:rsidR="008153E2" w:rsidRDefault="008153E2" w:rsidP="008153E2">
      <w:pPr>
        <w:tabs>
          <w:tab w:val="left" w:pos="2835"/>
        </w:tabs>
        <w:spacing w:line="360" w:lineRule="auto"/>
        <w:ind w:firstLine="2268"/>
        <w:jc w:val="both"/>
        <w:rPr>
          <w:rFonts w:ascii="Times New Roman" w:hAnsi="Times New Roman"/>
          <w:b/>
          <w:sz w:val="22"/>
          <w:szCs w:val="22"/>
        </w:rPr>
      </w:pPr>
    </w:p>
    <w:p w:rsidR="008153E2" w:rsidRDefault="008153E2" w:rsidP="008153E2">
      <w:pPr>
        <w:tabs>
          <w:tab w:val="left" w:pos="2835"/>
        </w:tabs>
        <w:spacing w:line="360" w:lineRule="auto"/>
        <w:ind w:firstLine="2268"/>
        <w:jc w:val="both"/>
        <w:rPr>
          <w:rFonts w:ascii="Times New Roman" w:hAnsi="Times New Roman"/>
          <w:sz w:val="22"/>
          <w:szCs w:val="22"/>
        </w:rPr>
      </w:pPr>
      <w:r w:rsidRPr="00164DA0">
        <w:rPr>
          <w:rFonts w:ascii="Times New Roman" w:hAnsi="Times New Roman"/>
          <w:b/>
          <w:sz w:val="22"/>
          <w:szCs w:val="22"/>
        </w:rPr>
        <w:t>DELIBEROU</w:t>
      </w:r>
      <w:r w:rsidRPr="00164DA0">
        <w:rPr>
          <w:rFonts w:ascii="Times New Roman" w:hAnsi="Times New Roman"/>
          <w:sz w:val="22"/>
          <w:szCs w:val="22"/>
        </w:rPr>
        <w:t xml:space="preserve"> pel</w:t>
      </w:r>
      <w:r>
        <w:rPr>
          <w:rFonts w:ascii="Times New Roman" w:hAnsi="Times New Roman"/>
          <w:sz w:val="22"/>
          <w:szCs w:val="22"/>
        </w:rPr>
        <w:t xml:space="preserve">o prosseguimento do processo em epígrafe para </w:t>
      </w:r>
      <w:r w:rsidRPr="00164DA0">
        <w:rPr>
          <w:rFonts w:ascii="Times New Roman" w:hAnsi="Times New Roman"/>
          <w:sz w:val="22"/>
          <w:szCs w:val="22"/>
        </w:rPr>
        <w:t xml:space="preserve">a </w:t>
      </w:r>
      <w:r>
        <w:rPr>
          <w:rFonts w:ascii="Times New Roman" w:hAnsi="Times New Roman"/>
          <w:sz w:val="22"/>
          <w:szCs w:val="22"/>
        </w:rPr>
        <w:t xml:space="preserve">aquisição de imóveis no Centro comercial La </w:t>
      </w:r>
      <w:proofErr w:type="spellStart"/>
      <w:r>
        <w:rPr>
          <w:rFonts w:ascii="Times New Roman" w:hAnsi="Times New Roman"/>
          <w:sz w:val="22"/>
          <w:szCs w:val="22"/>
        </w:rPr>
        <w:t>Défense</w:t>
      </w:r>
      <w:proofErr w:type="spellEnd"/>
      <w:r>
        <w:rPr>
          <w:rFonts w:ascii="Times New Roman" w:hAnsi="Times New Roman"/>
          <w:sz w:val="22"/>
          <w:szCs w:val="22"/>
        </w:rPr>
        <w:t>, considerando que:</w:t>
      </w:r>
    </w:p>
    <w:p w:rsidR="008153E2" w:rsidRDefault="008153E2" w:rsidP="008153E2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8153E2" w:rsidRDefault="008153E2" w:rsidP="008153E2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  <w:r w:rsidRPr="002D3B4A">
        <w:rPr>
          <w:rFonts w:ascii="Times New Roman" w:hAnsi="Times New Roman"/>
          <w:sz w:val="22"/>
          <w:szCs w:val="22"/>
        </w:rPr>
        <w:t xml:space="preserve">1 </w:t>
      </w:r>
      <w:r>
        <w:rPr>
          <w:rFonts w:ascii="Times New Roman" w:hAnsi="Times New Roman"/>
          <w:sz w:val="22"/>
          <w:szCs w:val="22"/>
        </w:rPr>
        <w:t>–</w:t>
      </w:r>
      <w:r w:rsidRPr="002D3B4A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há necessidade de espaço para que o</w:t>
      </w:r>
      <w:r w:rsidRPr="008829C0">
        <w:rPr>
          <w:rFonts w:ascii="Times New Roman" w:hAnsi="Times New Roman"/>
          <w:sz w:val="22"/>
          <w:szCs w:val="22"/>
        </w:rPr>
        <w:t xml:space="preserve"> CAU/RS </w:t>
      </w:r>
      <w:r>
        <w:rPr>
          <w:rFonts w:ascii="Times New Roman" w:hAnsi="Times New Roman"/>
          <w:sz w:val="22"/>
          <w:szCs w:val="22"/>
        </w:rPr>
        <w:t xml:space="preserve">possa alocar salas para as Comissões Permanentes, Plenário, além da ampliação de espaço para trabalhos técnicos, como Memorial, Arquivo, área para estações de trabalho, além das </w:t>
      </w:r>
      <w:r w:rsidRPr="008829C0">
        <w:rPr>
          <w:rFonts w:ascii="Times New Roman" w:hAnsi="Times New Roman"/>
          <w:sz w:val="22"/>
          <w:szCs w:val="22"/>
        </w:rPr>
        <w:t>demais situações que exija</w:t>
      </w:r>
      <w:r>
        <w:rPr>
          <w:rFonts w:ascii="Times New Roman" w:hAnsi="Times New Roman"/>
          <w:sz w:val="22"/>
          <w:szCs w:val="22"/>
        </w:rPr>
        <w:t>m</w:t>
      </w:r>
      <w:r w:rsidRPr="008829C0">
        <w:rPr>
          <w:rFonts w:ascii="Times New Roman" w:hAnsi="Times New Roman"/>
          <w:sz w:val="22"/>
          <w:szCs w:val="22"/>
        </w:rPr>
        <w:t xml:space="preserve"> espaço para pleno funcionamento das atividades na sede do CAU/RS</w:t>
      </w:r>
      <w:r>
        <w:rPr>
          <w:rFonts w:ascii="Times New Roman" w:hAnsi="Times New Roman"/>
          <w:sz w:val="22"/>
          <w:szCs w:val="22"/>
        </w:rPr>
        <w:t>.</w:t>
      </w:r>
    </w:p>
    <w:p w:rsidR="008153E2" w:rsidRDefault="008153E2" w:rsidP="008153E2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8153E2" w:rsidRDefault="008153E2" w:rsidP="008153E2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Encaminhe</w:t>
      </w:r>
      <w:r w:rsidRPr="00164DA0">
        <w:rPr>
          <w:rFonts w:ascii="Times New Roman" w:hAnsi="Times New Roman"/>
          <w:sz w:val="22"/>
          <w:szCs w:val="22"/>
        </w:rPr>
        <w:t xml:space="preserve">-se esta </w:t>
      </w:r>
      <w:r w:rsidRPr="00157786">
        <w:rPr>
          <w:rFonts w:ascii="Times New Roman" w:hAnsi="Times New Roman"/>
          <w:sz w:val="22"/>
          <w:szCs w:val="22"/>
        </w:rPr>
        <w:t xml:space="preserve">Deliberação à Comissão de Planejamento e Finanças do Conselho de Arquitetura e Urbanismo do Rio Grande do Sul, </w:t>
      </w:r>
      <w:r>
        <w:rPr>
          <w:rFonts w:ascii="Times New Roman" w:hAnsi="Times New Roman"/>
          <w:sz w:val="22"/>
          <w:szCs w:val="22"/>
        </w:rPr>
        <w:t>de acordo com o art. 46, X do Regulamento Interno do CAU/RS</w:t>
      </w:r>
      <w:r w:rsidRPr="00157786">
        <w:rPr>
          <w:rFonts w:ascii="Times New Roman" w:hAnsi="Times New Roman"/>
          <w:sz w:val="22"/>
          <w:szCs w:val="22"/>
        </w:rPr>
        <w:t>.</w:t>
      </w:r>
      <w:r w:rsidRPr="00164DA0">
        <w:rPr>
          <w:rFonts w:ascii="Times New Roman" w:hAnsi="Times New Roman"/>
          <w:sz w:val="22"/>
          <w:szCs w:val="22"/>
        </w:rPr>
        <w:t xml:space="preserve"> </w:t>
      </w:r>
    </w:p>
    <w:p w:rsidR="008153E2" w:rsidRDefault="008153E2" w:rsidP="008153E2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</w:p>
    <w:p w:rsidR="008153E2" w:rsidRPr="00164DA0" w:rsidRDefault="008153E2" w:rsidP="008153E2">
      <w:pPr>
        <w:spacing w:line="360" w:lineRule="auto"/>
        <w:ind w:firstLine="1134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</w:t>
      </w:r>
      <w:r w:rsidRPr="00164DA0">
        <w:rPr>
          <w:rFonts w:ascii="Times New Roman" w:hAnsi="Times New Roman"/>
          <w:sz w:val="22"/>
          <w:szCs w:val="22"/>
        </w:rPr>
        <w:t>ssa Deliberação se</w:t>
      </w:r>
      <w:r>
        <w:rPr>
          <w:rFonts w:ascii="Times New Roman" w:hAnsi="Times New Roman"/>
          <w:sz w:val="22"/>
          <w:szCs w:val="22"/>
        </w:rPr>
        <w:t>rá</w:t>
      </w:r>
      <w:r w:rsidRPr="00164DA0">
        <w:rPr>
          <w:rFonts w:ascii="Times New Roman" w:hAnsi="Times New Roman"/>
          <w:sz w:val="22"/>
          <w:szCs w:val="22"/>
        </w:rPr>
        <w:t xml:space="preserve"> remetida ao Plenário do CAU/RS, para que as razões aqui expostas sejam apreciadas pelo conjunto de Conselheiros.</w:t>
      </w:r>
    </w:p>
    <w:p w:rsidR="008153E2" w:rsidRPr="00164DA0" w:rsidRDefault="008153E2" w:rsidP="008153E2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153E2" w:rsidRDefault="008153E2" w:rsidP="008153E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164DA0">
        <w:rPr>
          <w:rFonts w:ascii="Times New Roman" w:hAnsi="Times New Roman"/>
          <w:sz w:val="22"/>
          <w:szCs w:val="22"/>
        </w:rPr>
        <w:t>Porto Alegre, RS, 04 de abril de 2016.</w:t>
      </w:r>
    </w:p>
    <w:p w:rsidR="008153E2" w:rsidRDefault="008153E2" w:rsidP="008153E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153E2" w:rsidRDefault="008153E2" w:rsidP="008153E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8153E2" w:rsidRDefault="008153E2" w:rsidP="008153E2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tbl>
      <w:tblPr>
        <w:tblW w:w="5000" w:type="pct"/>
        <w:tblLook w:val="04A0" w:firstRow="1" w:lastRow="0" w:firstColumn="1" w:lastColumn="0" w:noHBand="0" w:noVBand="1"/>
      </w:tblPr>
      <w:tblGrid>
        <w:gridCol w:w="4895"/>
        <w:gridCol w:w="4669"/>
      </w:tblGrid>
      <w:tr w:rsidR="008153E2" w:rsidRPr="00164DA0" w:rsidTr="000367AB">
        <w:tc>
          <w:tcPr>
            <w:tcW w:w="2559" w:type="pct"/>
            <w:shd w:val="clear" w:color="auto" w:fill="auto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b/>
                <w:sz w:val="22"/>
                <w:szCs w:val="22"/>
              </w:rPr>
              <w:t>HERMES DE ASSIS PURICELLI</w:t>
            </w:r>
            <w:r w:rsidRPr="00164DA0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153E2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1" w:type="pct"/>
            <w:shd w:val="clear" w:color="auto" w:fill="auto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153E2" w:rsidRPr="00164DA0" w:rsidTr="000367AB">
        <w:tc>
          <w:tcPr>
            <w:tcW w:w="2559" w:type="pct"/>
            <w:shd w:val="clear" w:color="auto" w:fill="auto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b/>
                <w:sz w:val="22"/>
                <w:szCs w:val="22"/>
              </w:rPr>
              <w:t>ALBERTO FEDOSOW CABRAL</w:t>
            </w:r>
          </w:p>
          <w:p w:rsidR="008153E2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Coordenador Adjunto</w:t>
            </w:r>
          </w:p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41" w:type="pct"/>
            <w:shd w:val="clear" w:color="auto" w:fill="auto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8153E2" w:rsidRPr="00164DA0" w:rsidTr="000367AB">
        <w:tc>
          <w:tcPr>
            <w:tcW w:w="2559" w:type="pct"/>
            <w:shd w:val="clear" w:color="auto" w:fill="auto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b/>
                <w:sz w:val="22"/>
                <w:szCs w:val="22"/>
              </w:rPr>
              <w:t>MÁRCIO DE MENDONÇA LIMA ARIOLI</w:t>
            </w:r>
          </w:p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441" w:type="pct"/>
            <w:shd w:val="clear" w:color="auto" w:fill="auto"/>
          </w:tcPr>
          <w:p w:rsidR="008153E2" w:rsidRPr="00164DA0" w:rsidRDefault="008153E2" w:rsidP="000367A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164D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8153E2" w:rsidRPr="00164DA0" w:rsidRDefault="008153E2" w:rsidP="008153E2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p w:rsidR="0095439E" w:rsidRPr="008153E2" w:rsidRDefault="0095439E" w:rsidP="008153E2"/>
    <w:sectPr w:rsidR="0095439E" w:rsidRPr="008153E2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4C1" w:rsidRDefault="005264C1">
      <w:r>
        <w:separator/>
      </w:r>
    </w:p>
  </w:endnote>
  <w:endnote w:type="continuationSeparator" w:id="0">
    <w:p w:rsidR="005264C1" w:rsidRDefault="00526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A92C42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="00FE6E32">
      <w:rPr>
        <w:rFonts w:ascii="Arial" w:hAnsi="Arial"/>
        <w:color w:val="003333"/>
        <w:sz w:val="22"/>
      </w:rPr>
      <w:t xml:space="preserve"> 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8F4ABA" w:rsidRPr="00787E82" w:rsidRDefault="008F4ABA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8F4ABA" w:rsidRPr="00787E82" w:rsidRDefault="008F4ABA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787E82">
          <w:rPr>
            <w:rFonts w:ascii="DaxCondensed" w:hAnsi="DaxCondensed"/>
            <w:sz w:val="18"/>
            <w:szCs w:val="18"/>
          </w:rPr>
          <w:t xml:space="preserve"> 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8F4ABA" w:rsidRPr="008F4ABA" w:rsidRDefault="008F4ABA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153E2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4C1" w:rsidRDefault="005264C1">
      <w:r>
        <w:separator/>
      </w:r>
    </w:p>
  </w:footnote>
  <w:footnote w:type="continuationSeparator" w:id="0">
    <w:p w:rsidR="005264C1" w:rsidRDefault="00526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B19D1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4E4B6C58" wp14:editId="3E88507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E831583" wp14:editId="55DCEBE0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7D711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7F33B65A" wp14:editId="7DE79F64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2A73016"/>
    <w:multiLevelType w:val="multilevel"/>
    <w:tmpl w:val="DE82B84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35F5D"/>
    <w:multiLevelType w:val="multilevel"/>
    <w:tmpl w:val="BC8A81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2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4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6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8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9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F025240"/>
    <w:multiLevelType w:val="hybridMultilevel"/>
    <w:tmpl w:val="FC421CD8"/>
    <w:lvl w:ilvl="0" w:tplc="06E84AE8">
      <w:start w:val="1"/>
      <w:numFmt w:val="lowerLetter"/>
      <w:lvlText w:val="%1)"/>
      <w:lvlJc w:val="left"/>
      <w:pPr>
        <w:ind w:left="135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072" w:hanging="360"/>
      </w:pPr>
    </w:lvl>
    <w:lvl w:ilvl="2" w:tplc="0416001B" w:tentative="1">
      <w:start w:val="1"/>
      <w:numFmt w:val="lowerRoman"/>
      <w:lvlText w:val="%3."/>
      <w:lvlJc w:val="right"/>
      <w:pPr>
        <w:ind w:left="2792" w:hanging="180"/>
      </w:pPr>
    </w:lvl>
    <w:lvl w:ilvl="3" w:tplc="0416000F" w:tentative="1">
      <w:start w:val="1"/>
      <w:numFmt w:val="decimal"/>
      <w:lvlText w:val="%4."/>
      <w:lvlJc w:val="left"/>
      <w:pPr>
        <w:ind w:left="3512" w:hanging="360"/>
      </w:pPr>
    </w:lvl>
    <w:lvl w:ilvl="4" w:tplc="04160019" w:tentative="1">
      <w:start w:val="1"/>
      <w:numFmt w:val="lowerLetter"/>
      <w:lvlText w:val="%5."/>
      <w:lvlJc w:val="left"/>
      <w:pPr>
        <w:ind w:left="4232" w:hanging="360"/>
      </w:pPr>
    </w:lvl>
    <w:lvl w:ilvl="5" w:tplc="0416001B" w:tentative="1">
      <w:start w:val="1"/>
      <w:numFmt w:val="lowerRoman"/>
      <w:lvlText w:val="%6."/>
      <w:lvlJc w:val="right"/>
      <w:pPr>
        <w:ind w:left="4952" w:hanging="180"/>
      </w:pPr>
    </w:lvl>
    <w:lvl w:ilvl="6" w:tplc="0416000F" w:tentative="1">
      <w:start w:val="1"/>
      <w:numFmt w:val="decimal"/>
      <w:lvlText w:val="%7."/>
      <w:lvlJc w:val="left"/>
      <w:pPr>
        <w:ind w:left="5672" w:hanging="360"/>
      </w:pPr>
    </w:lvl>
    <w:lvl w:ilvl="7" w:tplc="04160019" w:tentative="1">
      <w:start w:val="1"/>
      <w:numFmt w:val="lowerLetter"/>
      <w:lvlText w:val="%8."/>
      <w:lvlJc w:val="left"/>
      <w:pPr>
        <w:ind w:left="6392" w:hanging="360"/>
      </w:pPr>
    </w:lvl>
    <w:lvl w:ilvl="8" w:tplc="0416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3"/>
  </w:num>
  <w:num w:numId="5">
    <w:abstractNumId w:val="14"/>
  </w:num>
  <w:num w:numId="6">
    <w:abstractNumId w:val="28"/>
  </w:num>
  <w:num w:numId="7">
    <w:abstractNumId w:val="9"/>
  </w:num>
  <w:num w:numId="8">
    <w:abstractNumId w:val="26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8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7"/>
  </w:num>
  <w:num w:numId="16">
    <w:abstractNumId w:val="11"/>
  </w:num>
  <w:num w:numId="17">
    <w:abstractNumId w:val="21"/>
  </w:num>
  <w:num w:numId="18">
    <w:abstractNumId w:val="12"/>
  </w:num>
  <w:num w:numId="19">
    <w:abstractNumId w:val="19"/>
  </w:num>
  <w:num w:numId="20">
    <w:abstractNumId w:val="0"/>
  </w:num>
  <w:num w:numId="21">
    <w:abstractNumId w:val="17"/>
  </w:num>
  <w:num w:numId="22">
    <w:abstractNumId w:val="8"/>
  </w:num>
  <w:num w:numId="23">
    <w:abstractNumId w:val="22"/>
  </w:num>
  <w:num w:numId="24">
    <w:abstractNumId w:val="24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9"/>
  </w:num>
  <w:num w:numId="30">
    <w:abstractNumId w:val="16"/>
  </w:num>
  <w:num w:numId="31">
    <w:abstractNumId w:val="20"/>
  </w:num>
  <w:num w:numId="3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1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23E5A"/>
    <w:rsid w:val="000267BC"/>
    <w:rsid w:val="00052622"/>
    <w:rsid w:val="0006208E"/>
    <w:rsid w:val="00086752"/>
    <w:rsid w:val="000A3D86"/>
    <w:rsid w:val="000A4177"/>
    <w:rsid w:val="000A654B"/>
    <w:rsid w:val="000A6759"/>
    <w:rsid w:val="000C37E7"/>
    <w:rsid w:val="000D652D"/>
    <w:rsid w:val="000E09B2"/>
    <w:rsid w:val="001043FB"/>
    <w:rsid w:val="00104AA0"/>
    <w:rsid w:val="00120EEF"/>
    <w:rsid w:val="001244CC"/>
    <w:rsid w:val="001245A4"/>
    <w:rsid w:val="00136B40"/>
    <w:rsid w:val="0014186F"/>
    <w:rsid w:val="00142382"/>
    <w:rsid w:val="0014732F"/>
    <w:rsid w:val="00151BFD"/>
    <w:rsid w:val="00157F8E"/>
    <w:rsid w:val="00165A25"/>
    <w:rsid w:val="0017059B"/>
    <w:rsid w:val="00181BBB"/>
    <w:rsid w:val="001B7C18"/>
    <w:rsid w:val="001E1F47"/>
    <w:rsid w:val="001E51B4"/>
    <w:rsid w:val="001F028B"/>
    <w:rsid w:val="002064B6"/>
    <w:rsid w:val="00207D8F"/>
    <w:rsid w:val="00212859"/>
    <w:rsid w:val="002136B7"/>
    <w:rsid w:val="0023063D"/>
    <w:rsid w:val="00240DF4"/>
    <w:rsid w:val="00247AC1"/>
    <w:rsid w:val="002515AC"/>
    <w:rsid w:val="00252158"/>
    <w:rsid w:val="0025460A"/>
    <w:rsid w:val="002549F5"/>
    <w:rsid w:val="002559B3"/>
    <w:rsid w:val="00256B4E"/>
    <w:rsid w:val="002624E4"/>
    <w:rsid w:val="002813B6"/>
    <w:rsid w:val="002863A7"/>
    <w:rsid w:val="0029163E"/>
    <w:rsid w:val="002A0EB6"/>
    <w:rsid w:val="002A5EEB"/>
    <w:rsid w:val="002B3D82"/>
    <w:rsid w:val="002C1A3A"/>
    <w:rsid w:val="002C201B"/>
    <w:rsid w:val="002D2AAD"/>
    <w:rsid w:val="00302EB3"/>
    <w:rsid w:val="00317BAA"/>
    <w:rsid w:val="003300AC"/>
    <w:rsid w:val="00345F6A"/>
    <w:rsid w:val="00352001"/>
    <w:rsid w:val="00353035"/>
    <w:rsid w:val="00373441"/>
    <w:rsid w:val="00376BE7"/>
    <w:rsid w:val="003823BD"/>
    <w:rsid w:val="00393C0F"/>
    <w:rsid w:val="00396388"/>
    <w:rsid w:val="003B04EA"/>
    <w:rsid w:val="003B3454"/>
    <w:rsid w:val="003B4086"/>
    <w:rsid w:val="003B6F3F"/>
    <w:rsid w:val="0040532D"/>
    <w:rsid w:val="0041067A"/>
    <w:rsid w:val="0041248D"/>
    <w:rsid w:val="00424173"/>
    <w:rsid w:val="00425FE6"/>
    <w:rsid w:val="00427638"/>
    <w:rsid w:val="00443EF2"/>
    <w:rsid w:val="004450BE"/>
    <w:rsid w:val="004468E8"/>
    <w:rsid w:val="00446C61"/>
    <w:rsid w:val="00446E71"/>
    <w:rsid w:val="00456BB2"/>
    <w:rsid w:val="00466183"/>
    <w:rsid w:val="00475AE7"/>
    <w:rsid w:val="004775A8"/>
    <w:rsid w:val="00480D75"/>
    <w:rsid w:val="00483BF9"/>
    <w:rsid w:val="00484074"/>
    <w:rsid w:val="004C72A3"/>
    <w:rsid w:val="004D5CB3"/>
    <w:rsid w:val="004E3A37"/>
    <w:rsid w:val="004E4F77"/>
    <w:rsid w:val="004E5334"/>
    <w:rsid w:val="004E7E9F"/>
    <w:rsid w:val="00506FED"/>
    <w:rsid w:val="00507044"/>
    <w:rsid w:val="005101D2"/>
    <w:rsid w:val="0051084B"/>
    <w:rsid w:val="00514DF2"/>
    <w:rsid w:val="0051585C"/>
    <w:rsid w:val="005264C1"/>
    <w:rsid w:val="005309EF"/>
    <w:rsid w:val="00543DDF"/>
    <w:rsid w:val="00554DF5"/>
    <w:rsid w:val="005873C5"/>
    <w:rsid w:val="005D534C"/>
    <w:rsid w:val="005D7108"/>
    <w:rsid w:val="005F122C"/>
    <w:rsid w:val="005F4E62"/>
    <w:rsid w:val="00610573"/>
    <w:rsid w:val="00624BCA"/>
    <w:rsid w:val="00630A9C"/>
    <w:rsid w:val="006316D4"/>
    <w:rsid w:val="00632241"/>
    <w:rsid w:val="0063365F"/>
    <w:rsid w:val="006470D1"/>
    <w:rsid w:val="00652CE0"/>
    <w:rsid w:val="00653897"/>
    <w:rsid w:val="006662D4"/>
    <w:rsid w:val="00666BBB"/>
    <w:rsid w:val="00666D21"/>
    <w:rsid w:val="00695C83"/>
    <w:rsid w:val="00696CCE"/>
    <w:rsid w:val="006A336F"/>
    <w:rsid w:val="006A6600"/>
    <w:rsid w:val="006B20BB"/>
    <w:rsid w:val="006C2414"/>
    <w:rsid w:val="006D0ED6"/>
    <w:rsid w:val="006D1965"/>
    <w:rsid w:val="006E2A03"/>
    <w:rsid w:val="007009BA"/>
    <w:rsid w:val="00700F71"/>
    <w:rsid w:val="00702DE6"/>
    <w:rsid w:val="0071396C"/>
    <w:rsid w:val="00732A3C"/>
    <w:rsid w:val="007837AA"/>
    <w:rsid w:val="00787E82"/>
    <w:rsid w:val="00793A04"/>
    <w:rsid w:val="00794FEC"/>
    <w:rsid w:val="00797BC4"/>
    <w:rsid w:val="007A1A0A"/>
    <w:rsid w:val="007A22C9"/>
    <w:rsid w:val="007A58D5"/>
    <w:rsid w:val="007B2164"/>
    <w:rsid w:val="007D4410"/>
    <w:rsid w:val="007D711B"/>
    <w:rsid w:val="007E4936"/>
    <w:rsid w:val="008153E2"/>
    <w:rsid w:val="008203EA"/>
    <w:rsid w:val="008253AC"/>
    <w:rsid w:val="008362FE"/>
    <w:rsid w:val="00840B08"/>
    <w:rsid w:val="00845F90"/>
    <w:rsid w:val="00853EFA"/>
    <w:rsid w:val="00854934"/>
    <w:rsid w:val="008A1C11"/>
    <w:rsid w:val="008B0962"/>
    <w:rsid w:val="008B736D"/>
    <w:rsid w:val="008D6E40"/>
    <w:rsid w:val="008E5038"/>
    <w:rsid w:val="008F18F6"/>
    <w:rsid w:val="008F4ABA"/>
    <w:rsid w:val="0090064F"/>
    <w:rsid w:val="009117AE"/>
    <w:rsid w:val="00916E9B"/>
    <w:rsid w:val="00926A62"/>
    <w:rsid w:val="00947967"/>
    <w:rsid w:val="00947BB9"/>
    <w:rsid w:val="0095040F"/>
    <w:rsid w:val="00952D0E"/>
    <w:rsid w:val="0095439E"/>
    <w:rsid w:val="00956A01"/>
    <w:rsid w:val="00957AC3"/>
    <w:rsid w:val="00961245"/>
    <w:rsid w:val="00971D96"/>
    <w:rsid w:val="00980FCC"/>
    <w:rsid w:val="009848AF"/>
    <w:rsid w:val="00985EDF"/>
    <w:rsid w:val="009907B3"/>
    <w:rsid w:val="009940DE"/>
    <w:rsid w:val="009C5EA1"/>
    <w:rsid w:val="009C6A1C"/>
    <w:rsid w:val="009F1BF0"/>
    <w:rsid w:val="009F73EE"/>
    <w:rsid w:val="00A156A6"/>
    <w:rsid w:val="00A314E6"/>
    <w:rsid w:val="00A451FB"/>
    <w:rsid w:val="00A66013"/>
    <w:rsid w:val="00A70DB7"/>
    <w:rsid w:val="00A844AC"/>
    <w:rsid w:val="00A92C42"/>
    <w:rsid w:val="00A93D68"/>
    <w:rsid w:val="00A93DF9"/>
    <w:rsid w:val="00AA2487"/>
    <w:rsid w:val="00AB1EC2"/>
    <w:rsid w:val="00AB4FC8"/>
    <w:rsid w:val="00AB6D6F"/>
    <w:rsid w:val="00AB6E47"/>
    <w:rsid w:val="00AF00D4"/>
    <w:rsid w:val="00B016B7"/>
    <w:rsid w:val="00B02422"/>
    <w:rsid w:val="00B0264F"/>
    <w:rsid w:val="00B07B8F"/>
    <w:rsid w:val="00B20372"/>
    <w:rsid w:val="00B20717"/>
    <w:rsid w:val="00B26FFF"/>
    <w:rsid w:val="00B2795C"/>
    <w:rsid w:val="00B27B5F"/>
    <w:rsid w:val="00B30118"/>
    <w:rsid w:val="00B32641"/>
    <w:rsid w:val="00B42BDB"/>
    <w:rsid w:val="00B53358"/>
    <w:rsid w:val="00B57D4B"/>
    <w:rsid w:val="00B76B93"/>
    <w:rsid w:val="00B818FF"/>
    <w:rsid w:val="00B909EF"/>
    <w:rsid w:val="00BE016E"/>
    <w:rsid w:val="00BF3F8C"/>
    <w:rsid w:val="00BF77C1"/>
    <w:rsid w:val="00C0636C"/>
    <w:rsid w:val="00C26C02"/>
    <w:rsid w:val="00C32DC1"/>
    <w:rsid w:val="00C4072E"/>
    <w:rsid w:val="00C55B31"/>
    <w:rsid w:val="00C75D55"/>
    <w:rsid w:val="00C87ABE"/>
    <w:rsid w:val="00C9480E"/>
    <w:rsid w:val="00CA1A29"/>
    <w:rsid w:val="00CA498F"/>
    <w:rsid w:val="00CA7A80"/>
    <w:rsid w:val="00CB0241"/>
    <w:rsid w:val="00CC43AD"/>
    <w:rsid w:val="00CF1583"/>
    <w:rsid w:val="00CF6274"/>
    <w:rsid w:val="00CF7F9A"/>
    <w:rsid w:val="00D01BF0"/>
    <w:rsid w:val="00D2606C"/>
    <w:rsid w:val="00D4774B"/>
    <w:rsid w:val="00D529EA"/>
    <w:rsid w:val="00D53704"/>
    <w:rsid w:val="00D763D0"/>
    <w:rsid w:val="00D82502"/>
    <w:rsid w:val="00D9779F"/>
    <w:rsid w:val="00DA63D3"/>
    <w:rsid w:val="00DB766F"/>
    <w:rsid w:val="00DC6D0C"/>
    <w:rsid w:val="00DE29BA"/>
    <w:rsid w:val="00DF48ED"/>
    <w:rsid w:val="00DF5914"/>
    <w:rsid w:val="00DF5F41"/>
    <w:rsid w:val="00DF68B0"/>
    <w:rsid w:val="00E055D0"/>
    <w:rsid w:val="00E15EB3"/>
    <w:rsid w:val="00E20F68"/>
    <w:rsid w:val="00E232DD"/>
    <w:rsid w:val="00E33CB7"/>
    <w:rsid w:val="00E362E0"/>
    <w:rsid w:val="00E54F0F"/>
    <w:rsid w:val="00E56336"/>
    <w:rsid w:val="00E71EF9"/>
    <w:rsid w:val="00E74B13"/>
    <w:rsid w:val="00E82A7C"/>
    <w:rsid w:val="00E87E99"/>
    <w:rsid w:val="00E9263D"/>
    <w:rsid w:val="00EB19D1"/>
    <w:rsid w:val="00ED13BB"/>
    <w:rsid w:val="00ED1C72"/>
    <w:rsid w:val="00ED5A63"/>
    <w:rsid w:val="00ED687B"/>
    <w:rsid w:val="00EF52A4"/>
    <w:rsid w:val="00F013CF"/>
    <w:rsid w:val="00F10B0F"/>
    <w:rsid w:val="00F15785"/>
    <w:rsid w:val="00F53862"/>
    <w:rsid w:val="00F8335F"/>
    <w:rsid w:val="00F95E50"/>
    <w:rsid w:val="00FA3756"/>
    <w:rsid w:val="00FB1AE8"/>
    <w:rsid w:val="00FB5286"/>
    <w:rsid w:val="00FC09C5"/>
    <w:rsid w:val="00FC168F"/>
    <w:rsid w:val="00FE6E32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qFormat/>
    <w:rsid w:val="0006208E"/>
    <w:pPr>
      <w:keepNext/>
      <w:suppressAutoHyphens/>
      <w:jc w:val="both"/>
      <w:outlineLvl w:val="6"/>
    </w:pPr>
    <w:rPr>
      <w:rFonts w:ascii="Times New Roman" w:eastAsia="Times New Roman" w:hAnsi="Times New Roman"/>
      <w:b/>
      <w:kern w:val="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comtodasemmaisculas">
    <w:name w:val="Cabeçalho com todas em maiúsculas"/>
    <w:basedOn w:val="Normal"/>
    <w:rsid w:val="00B20372"/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character" w:customStyle="1" w:styleId="Ttulo7Char">
    <w:name w:val="Título 7 Char"/>
    <w:basedOn w:val="Fontepargpadro"/>
    <w:link w:val="Ttulo7"/>
    <w:rsid w:val="0006208E"/>
    <w:rPr>
      <w:rFonts w:ascii="Times New Roman" w:eastAsia="Times New Roman" w:hAnsi="Times New Roman"/>
      <w:b/>
      <w:kern w:val="1"/>
      <w:sz w:val="24"/>
    </w:rPr>
  </w:style>
  <w:style w:type="paragraph" w:customStyle="1" w:styleId="PargrafodaLista1">
    <w:name w:val="Parágrafo da Lista1"/>
    <w:basedOn w:val="Normal"/>
    <w:rsid w:val="0006208E"/>
    <w:pPr>
      <w:suppressAutoHyphens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95439E"/>
    <w:pPr>
      <w:suppressAutoHyphens/>
    </w:pPr>
    <w:rPr>
      <w:rFonts w:ascii="Times New Roman" w:eastAsia="Times New Roman" w:hAnsi="Times New Roman"/>
      <w:kern w:val="1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qFormat/>
    <w:rsid w:val="0006208E"/>
    <w:pPr>
      <w:keepNext/>
      <w:suppressAutoHyphens/>
      <w:jc w:val="both"/>
      <w:outlineLvl w:val="6"/>
    </w:pPr>
    <w:rPr>
      <w:rFonts w:ascii="Times New Roman" w:eastAsia="Times New Roman" w:hAnsi="Times New Roman"/>
      <w:b/>
      <w:kern w:val="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comtodasemmaisculas">
    <w:name w:val="Cabeçalho com todas em maiúsculas"/>
    <w:basedOn w:val="Normal"/>
    <w:rsid w:val="00B20372"/>
    <w:rPr>
      <w:rFonts w:ascii="Tahoma" w:eastAsia="Times New Roman" w:hAnsi="Tahoma" w:cs="Tahoma"/>
      <w:b/>
      <w:caps/>
      <w:color w:val="808080"/>
      <w:spacing w:val="4"/>
      <w:sz w:val="14"/>
      <w:szCs w:val="14"/>
      <w:lang w:val="en-US" w:bidi="en-US"/>
    </w:rPr>
  </w:style>
  <w:style w:type="character" w:customStyle="1" w:styleId="Ttulo7Char">
    <w:name w:val="Título 7 Char"/>
    <w:basedOn w:val="Fontepargpadro"/>
    <w:link w:val="Ttulo7"/>
    <w:rsid w:val="0006208E"/>
    <w:rPr>
      <w:rFonts w:ascii="Times New Roman" w:eastAsia="Times New Roman" w:hAnsi="Times New Roman"/>
      <w:b/>
      <w:kern w:val="1"/>
      <w:sz w:val="24"/>
    </w:rPr>
  </w:style>
  <w:style w:type="paragraph" w:customStyle="1" w:styleId="PargrafodaLista1">
    <w:name w:val="Parágrafo da Lista1"/>
    <w:basedOn w:val="Normal"/>
    <w:rsid w:val="0006208E"/>
    <w:pPr>
      <w:suppressAutoHyphens/>
      <w:ind w:left="720"/>
      <w:contextualSpacing/>
    </w:pPr>
    <w:rPr>
      <w:rFonts w:ascii="Times New Roman" w:eastAsia="Times New Roman" w:hAnsi="Times New Roman"/>
      <w:kern w:val="1"/>
      <w:sz w:val="20"/>
      <w:szCs w:val="20"/>
      <w:lang w:eastAsia="pt-BR"/>
    </w:rPr>
  </w:style>
  <w:style w:type="paragraph" w:customStyle="1" w:styleId="Contedodatabela">
    <w:name w:val="Conteúdo da tabela"/>
    <w:basedOn w:val="Normal"/>
    <w:rsid w:val="0095439E"/>
    <w:pPr>
      <w:suppressAutoHyphens/>
    </w:pPr>
    <w:rPr>
      <w:rFonts w:ascii="Times New Roman" w:eastAsia="Times New Roman" w:hAnsi="Times New Roman"/>
      <w:kern w:val="1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FE0B46-74EA-48B9-9148-AFEE4C82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</cp:revision>
  <cp:lastPrinted>2015-10-16T15:27:00Z</cp:lastPrinted>
  <dcterms:created xsi:type="dcterms:W3CDTF">2016-04-05T14:47:00Z</dcterms:created>
  <dcterms:modified xsi:type="dcterms:W3CDTF">2016-04-05T14:47:00Z</dcterms:modified>
</cp:coreProperties>
</file>