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05537C" w:rsidRPr="0005537C" w14:paraId="73B85AE3" w14:textId="77777777" w:rsidTr="00DE75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5E2D9968" w:rsidR="0005537C" w:rsidRPr="0005537C" w:rsidRDefault="0008734E" w:rsidP="0005537C">
            <w:pPr>
              <w:tabs>
                <w:tab w:val="left" w:pos="1418"/>
              </w:tabs>
              <w:rPr>
                <w:rFonts w:ascii="Times New Roman" w:hAnsi="Times New Roman"/>
                <w:sz w:val="22"/>
                <w:szCs w:val="22"/>
              </w:rPr>
            </w:pPr>
            <w:r w:rsidRPr="0008734E">
              <w:rPr>
                <w:rFonts w:ascii="Times New Roman" w:hAnsi="Times New Roman"/>
                <w:sz w:val="22"/>
                <w:szCs w:val="22"/>
              </w:rPr>
              <w:t>1000068975</w:t>
            </w:r>
            <w:r w:rsidR="0005537C" w:rsidRPr="0005537C">
              <w:rPr>
                <w:rFonts w:ascii="Times New Roman" w:hAnsi="Times New Roman"/>
                <w:sz w:val="22"/>
                <w:szCs w:val="22"/>
              </w:rPr>
              <w:t>/201</w:t>
            </w:r>
            <w:r>
              <w:rPr>
                <w:rFonts w:ascii="Times New Roman" w:hAnsi="Times New Roman"/>
                <w:sz w:val="22"/>
                <w:szCs w:val="22"/>
              </w:rPr>
              <w:t>8</w:t>
            </w:r>
          </w:p>
        </w:tc>
      </w:tr>
      <w:tr w:rsidR="0005537C" w:rsidRPr="0005537C" w14:paraId="66CCBF92" w14:textId="77777777" w:rsidTr="00DE75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2F9B4EA5" w:rsidR="0005537C" w:rsidRPr="0005537C" w:rsidRDefault="0008734E" w:rsidP="0005537C">
            <w:pPr>
              <w:tabs>
                <w:tab w:val="left" w:pos="1418"/>
              </w:tabs>
              <w:rPr>
                <w:rFonts w:ascii="Times New Roman" w:hAnsi="Times New Roman"/>
                <w:sz w:val="22"/>
                <w:szCs w:val="22"/>
              </w:rPr>
            </w:pPr>
            <w:r w:rsidRPr="0008734E">
              <w:rPr>
                <w:rFonts w:ascii="Times New Roman" w:hAnsi="Times New Roman"/>
                <w:sz w:val="22"/>
                <w:szCs w:val="22"/>
              </w:rPr>
              <w:t>182900</w:t>
            </w:r>
            <w:r w:rsidR="0005537C" w:rsidRPr="0005537C">
              <w:rPr>
                <w:rFonts w:ascii="Times New Roman" w:hAnsi="Times New Roman"/>
                <w:sz w:val="22"/>
                <w:szCs w:val="22"/>
              </w:rPr>
              <w:t>/20</w:t>
            </w:r>
            <w:r w:rsidR="009009ED">
              <w:rPr>
                <w:rFonts w:ascii="Times New Roman" w:hAnsi="Times New Roman"/>
                <w:sz w:val="22"/>
                <w:szCs w:val="22"/>
              </w:rPr>
              <w:t>1</w:t>
            </w:r>
            <w:r>
              <w:rPr>
                <w:rFonts w:ascii="Times New Roman" w:hAnsi="Times New Roman"/>
                <w:sz w:val="22"/>
                <w:szCs w:val="22"/>
              </w:rPr>
              <w:t>4</w:t>
            </w:r>
          </w:p>
        </w:tc>
      </w:tr>
      <w:tr w:rsidR="0005537C" w:rsidRPr="0005537C" w14:paraId="07C8CCD4" w14:textId="77777777" w:rsidTr="00DE75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282D8CDC" w:rsidR="0005537C" w:rsidRPr="001C646D" w:rsidRDefault="0008734E" w:rsidP="00E00EF1">
            <w:pPr>
              <w:tabs>
                <w:tab w:val="left" w:pos="1418"/>
              </w:tabs>
              <w:jc w:val="both"/>
              <w:rPr>
                <w:rFonts w:ascii="Times New Roman" w:hAnsi="Times New Roman"/>
                <w:sz w:val="22"/>
                <w:szCs w:val="22"/>
              </w:rPr>
            </w:pPr>
            <w:r w:rsidRPr="0008734E">
              <w:rPr>
                <w:rFonts w:ascii="Times New Roman" w:hAnsi="Times New Roman"/>
                <w:sz w:val="22"/>
                <w:szCs w:val="22"/>
              </w:rPr>
              <w:t>R</w:t>
            </w:r>
            <w:r w:rsidR="00E00EF1">
              <w:rPr>
                <w:rFonts w:ascii="Times New Roman" w:hAnsi="Times New Roman"/>
                <w:sz w:val="22"/>
                <w:szCs w:val="22"/>
              </w:rPr>
              <w:t>.</w:t>
            </w:r>
            <w:r w:rsidRPr="0008734E">
              <w:rPr>
                <w:rFonts w:ascii="Times New Roman" w:hAnsi="Times New Roman"/>
                <w:sz w:val="22"/>
                <w:szCs w:val="22"/>
              </w:rPr>
              <w:t xml:space="preserve"> Z</w:t>
            </w:r>
            <w:r w:rsidR="00E00EF1">
              <w:rPr>
                <w:rFonts w:ascii="Times New Roman" w:hAnsi="Times New Roman"/>
                <w:sz w:val="22"/>
                <w:szCs w:val="22"/>
              </w:rPr>
              <w:t>.</w:t>
            </w:r>
            <w:r w:rsidRPr="0008734E">
              <w:rPr>
                <w:rFonts w:ascii="Times New Roman" w:hAnsi="Times New Roman"/>
                <w:sz w:val="22"/>
                <w:szCs w:val="22"/>
              </w:rPr>
              <w:t xml:space="preserve"> C</w:t>
            </w:r>
            <w:r w:rsidR="00E00EF1">
              <w:rPr>
                <w:rFonts w:ascii="Times New Roman" w:hAnsi="Times New Roman"/>
                <w:sz w:val="22"/>
                <w:szCs w:val="22"/>
              </w:rPr>
              <w:t>.</w:t>
            </w:r>
            <w:r w:rsidRPr="0008734E">
              <w:rPr>
                <w:rFonts w:ascii="Times New Roman" w:hAnsi="Times New Roman"/>
                <w:sz w:val="22"/>
                <w:szCs w:val="22"/>
              </w:rPr>
              <w:t xml:space="preserve"> LTDA ME</w:t>
            </w:r>
          </w:p>
        </w:tc>
      </w:tr>
      <w:tr w:rsidR="0005537C" w:rsidRPr="0005537C" w14:paraId="655684BD" w14:textId="77777777" w:rsidTr="00DE75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1C646D" w:rsidRDefault="0005537C" w:rsidP="0005537C">
            <w:pPr>
              <w:jc w:val="both"/>
              <w:rPr>
                <w:rFonts w:ascii="Times New Roman" w:hAnsi="Times New Roman"/>
                <w:sz w:val="22"/>
                <w:szCs w:val="22"/>
              </w:rPr>
            </w:pPr>
            <w:r w:rsidRPr="001C646D">
              <w:rPr>
                <w:rFonts w:ascii="Times New Roman" w:hAnsi="Times New Roman"/>
                <w:sz w:val="22"/>
                <w:szCs w:val="22"/>
              </w:rPr>
              <w:t>AUSÊNCIA DE RESPONSÁVEL TÉCNICO ANOTADO, COM RRT DE CARGO E FUNÇÃO (PJ)</w:t>
            </w:r>
          </w:p>
        </w:tc>
      </w:tr>
      <w:tr w:rsidR="0005537C" w:rsidRPr="0005537C" w14:paraId="5C513A92" w14:textId="77777777" w:rsidTr="00DE75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BAF5E77" w:rsidR="0005537C" w:rsidRPr="001C646D" w:rsidRDefault="0005537C" w:rsidP="0005537C">
            <w:pPr>
              <w:tabs>
                <w:tab w:val="left" w:pos="1418"/>
              </w:tabs>
              <w:rPr>
                <w:rFonts w:ascii="Times New Roman" w:hAnsi="Times New Roman"/>
                <w:sz w:val="22"/>
                <w:szCs w:val="22"/>
              </w:rPr>
            </w:pPr>
            <w:r w:rsidRPr="001C646D">
              <w:rPr>
                <w:rFonts w:ascii="Times New Roman" w:hAnsi="Times New Roman"/>
                <w:sz w:val="22"/>
                <w:szCs w:val="22"/>
              </w:rPr>
              <w:t>CONS. MATIAS REVELLO VAZQUEZ</w:t>
            </w:r>
          </w:p>
        </w:tc>
      </w:tr>
    </w:tbl>
    <w:p w14:paraId="3340DE90" w14:textId="77777777" w:rsidR="005D2B35" w:rsidRPr="0005537C" w:rsidRDefault="00FA2B3C"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05537C" w14:paraId="54C024BB" w14:textId="77777777" w:rsidTr="00DE752C">
        <w:trPr>
          <w:trHeight w:hRule="exact" w:val="312"/>
          <w:jc w:val="center"/>
        </w:trPr>
        <w:tc>
          <w:tcPr>
            <w:tcW w:w="9356"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05537C" w:rsidRDefault="00FA2B3C" w:rsidP="005D2B35">
      <w:pPr>
        <w:rPr>
          <w:rFonts w:ascii="Times New Roman" w:hAnsi="Times New Roman"/>
          <w:sz w:val="22"/>
          <w:szCs w:val="22"/>
        </w:rPr>
      </w:pPr>
    </w:p>
    <w:p w14:paraId="4B90A479" w14:textId="52524BC5" w:rsidR="00593AED" w:rsidRPr="0005537C" w:rsidRDefault="00510B55" w:rsidP="00DE752C">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Trata-se de processo de fiscalização, originado por meio </w: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"SE_1" </w:instrText>
      </w:r>
      <w:r w:rsidRPr="0005537C">
        <w:rPr>
          <w:rFonts w:ascii="Times New Roman" w:hAnsi="Times New Roman"/>
          <w:noProof/>
          <w:sz w:val="22"/>
          <w:szCs w:val="22"/>
        </w:rPr>
        <w:fldChar w:fldCharType="separate"/>
      </w:r>
      <w:r w:rsidRPr="0005537C">
        <w:rPr>
          <w:rFonts w:ascii="Times New Roman" w:hAnsi="Times New Roman"/>
          <w:noProof/>
          <w:sz w:val="22"/>
          <w:szCs w:val="22"/>
        </w:rPr>
        <w:t>de rotina fiscalizatória</w:t>
      </w:r>
      <w:r w:rsidRPr="0005537C">
        <w:rPr>
          <w:rFonts w:ascii="Times New Roman" w:hAnsi="Times New Roman"/>
          <w:noProof/>
          <w:sz w:val="22"/>
          <w:szCs w:val="22"/>
        </w:rPr>
        <w:fldChar w:fldCharType="end"/>
      </w:r>
      <w:r w:rsidRPr="0005537C">
        <w:rPr>
          <w:rFonts w:ascii="Times New Roman" w:hAnsi="Times New Roman"/>
          <w:sz w:val="22"/>
          <w:szCs w:val="22"/>
        </w:rPr>
        <w:t xml:space="preserve">, em que se averiguou que a pessoa jurídica, </w:t>
      </w:r>
      <w:r w:rsidR="00E00EF1" w:rsidRPr="0008734E">
        <w:rPr>
          <w:rFonts w:ascii="Times New Roman" w:hAnsi="Times New Roman"/>
          <w:sz w:val="22"/>
          <w:szCs w:val="22"/>
        </w:rPr>
        <w:t>R</w:t>
      </w:r>
      <w:r w:rsidR="00E00EF1">
        <w:rPr>
          <w:rFonts w:ascii="Times New Roman" w:hAnsi="Times New Roman"/>
          <w:sz w:val="22"/>
          <w:szCs w:val="22"/>
        </w:rPr>
        <w:t>.</w:t>
      </w:r>
      <w:r w:rsidR="00E00EF1" w:rsidRPr="0008734E">
        <w:rPr>
          <w:rFonts w:ascii="Times New Roman" w:hAnsi="Times New Roman"/>
          <w:sz w:val="22"/>
          <w:szCs w:val="22"/>
        </w:rPr>
        <w:t xml:space="preserve"> Z</w:t>
      </w:r>
      <w:r w:rsidR="00E00EF1">
        <w:rPr>
          <w:rFonts w:ascii="Times New Roman" w:hAnsi="Times New Roman"/>
          <w:sz w:val="22"/>
          <w:szCs w:val="22"/>
        </w:rPr>
        <w:t>.</w:t>
      </w:r>
      <w:r w:rsidR="00E00EF1" w:rsidRPr="0008734E">
        <w:rPr>
          <w:rFonts w:ascii="Times New Roman" w:hAnsi="Times New Roman"/>
          <w:sz w:val="22"/>
          <w:szCs w:val="22"/>
        </w:rPr>
        <w:t xml:space="preserve"> C</w:t>
      </w:r>
      <w:r w:rsidR="00E00EF1">
        <w:rPr>
          <w:rFonts w:ascii="Times New Roman" w:hAnsi="Times New Roman"/>
          <w:sz w:val="22"/>
          <w:szCs w:val="22"/>
        </w:rPr>
        <w:t>.</w:t>
      </w:r>
      <w:r w:rsidR="00E00EF1" w:rsidRPr="0008734E">
        <w:rPr>
          <w:rFonts w:ascii="Times New Roman" w:hAnsi="Times New Roman"/>
          <w:sz w:val="22"/>
          <w:szCs w:val="22"/>
        </w:rPr>
        <w:t xml:space="preserve"> LTDA ME</w:t>
      </w:r>
      <w:r w:rsidRPr="004D1CC7">
        <w:rPr>
          <w:rFonts w:ascii="Times New Roman" w:hAnsi="Times New Roman"/>
          <w:sz w:val="22"/>
          <w:szCs w:val="22"/>
        </w:rPr>
        <w:t xml:space="preserve">, inscrita no CNPJ sob o nº </w:t>
      </w:r>
      <w:r w:rsidR="0008734E" w:rsidRPr="0008734E">
        <w:rPr>
          <w:rFonts w:ascii="Times New Roman" w:hAnsi="Times New Roman"/>
          <w:sz w:val="22"/>
          <w:szCs w:val="22"/>
        </w:rPr>
        <w:t>15.462.434/0001-80</w:t>
      </w:r>
      <w:r w:rsidRPr="004D1CC7">
        <w:rPr>
          <w:rFonts w:ascii="Times New Roman" w:hAnsi="Times New Roman"/>
          <w:sz w:val="22"/>
          <w:szCs w:val="22"/>
        </w:rPr>
        <w:t xml:space="preserve"> e registrada no CAU sob o nº </w:t>
      </w:r>
      <w:r w:rsidR="0008734E" w:rsidRPr="0008734E">
        <w:rPr>
          <w:rFonts w:ascii="Times New Roman" w:hAnsi="Times New Roman"/>
          <w:sz w:val="22"/>
          <w:szCs w:val="22"/>
        </w:rPr>
        <w:t>19431-0</w:t>
      </w:r>
      <w:r w:rsidRPr="004D1CC7">
        <w:rPr>
          <w:rFonts w:ascii="Times New Roman" w:hAnsi="Times New Roman"/>
          <w:sz w:val="22"/>
          <w:szCs w:val="22"/>
        </w:rPr>
        <w:t xml:space="preserve">, exerce atividade afeita à profissão de arquitetura e urbanismo, sem, contudo, possuir responsável </w:t>
      </w:r>
      <w:r w:rsidRPr="0005537C">
        <w:rPr>
          <w:rFonts w:ascii="Times New Roman" w:hAnsi="Times New Roman"/>
          <w:sz w:val="22"/>
          <w:szCs w:val="22"/>
        </w:rPr>
        <w:t>técnico.</w:t>
      </w:r>
    </w:p>
    <w:p w14:paraId="6A428A70" w14:textId="20B24E23" w:rsidR="0005537C" w:rsidRPr="0005537C" w:rsidRDefault="0005537C" w:rsidP="00DE752C">
      <w:pPr>
        <w:tabs>
          <w:tab w:val="left" w:pos="1418"/>
        </w:tabs>
        <w:spacing w:after="120"/>
        <w:jc w:val="both"/>
        <w:rPr>
          <w:rFonts w:ascii="Times New Roman" w:hAnsi="Times New Roman"/>
          <w:noProof/>
          <w:sz w:val="22"/>
          <w:szCs w:val="22"/>
          <w:highlight w:val="cyan"/>
        </w:rPr>
      </w:pPr>
      <w:r w:rsidRPr="0005537C">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w:t>
      </w:r>
      <w:r w:rsidR="001C646D">
        <w:rPr>
          <w:rFonts w:ascii="Times New Roman" w:hAnsi="Times New Roman"/>
          <w:noProof/>
          <w:sz w:val="22"/>
          <w:szCs w:val="22"/>
        </w:rPr>
        <w:t>;</w:t>
      </w:r>
      <w:r w:rsidRPr="0005537C">
        <w:rPr>
          <w:rFonts w:ascii="Times New Roman" w:hAnsi="Times New Roman"/>
          <w:noProof/>
          <w:sz w:val="22"/>
          <w:szCs w:val="22"/>
        </w:rPr>
        <w:t xml:space="preserve"> entretanto, até a data da lavratura da notificação preventiva, a empresa não efetuou o necessário registro elaborado.</w:t>
      </w:r>
    </w:p>
    <w:p w14:paraId="117A0C9F" w14:textId="228184EE" w:rsidR="0005537C" w:rsidRPr="002530D9" w:rsidRDefault="0005537C" w:rsidP="00DE752C">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Nos termos do art. 13, da Resolução CAU/BR nº 022/2012, o Agente de Fiscalização do CAU/RS efetuou, em </w:t>
      </w:r>
      <w:r w:rsidR="009009ED">
        <w:rPr>
          <w:rFonts w:ascii="Times New Roman" w:hAnsi="Times New Roman"/>
          <w:sz w:val="22"/>
          <w:szCs w:val="22"/>
        </w:rPr>
        <w:t>20/</w:t>
      </w:r>
      <w:r w:rsidR="0008734E">
        <w:rPr>
          <w:rFonts w:ascii="Times New Roman" w:hAnsi="Times New Roman"/>
          <w:sz w:val="22"/>
          <w:szCs w:val="22"/>
        </w:rPr>
        <w:t>06</w:t>
      </w:r>
      <w:r w:rsidR="009009ED">
        <w:rPr>
          <w:rFonts w:ascii="Times New Roman" w:hAnsi="Times New Roman"/>
          <w:sz w:val="22"/>
          <w:szCs w:val="22"/>
        </w:rPr>
        <w:t>/201</w:t>
      </w:r>
      <w:r w:rsidR="0008734E">
        <w:rPr>
          <w:rFonts w:ascii="Times New Roman" w:hAnsi="Times New Roman"/>
          <w:sz w:val="22"/>
          <w:szCs w:val="22"/>
        </w:rPr>
        <w:t>8</w:t>
      </w:r>
      <w:r w:rsidRPr="0005537C">
        <w:rPr>
          <w:rFonts w:ascii="Times New Roman" w:hAnsi="Times New Roman"/>
          <w:sz w:val="22"/>
          <w:szCs w:val="22"/>
        </w:rPr>
        <w:t xml:space="preserve">, a Notificação Preventiva, intimando a parte interessada a adotar, no prazo de 10 (dez) dias, as </w:t>
      </w:r>
      <w:r w:rsidRPr="002530D9">
        <w:rPr>
          <w:rFonts w:ascii="Times New Roman" w:hAnsi="Times New Roman"/>
          <w:sz w:val="22"/>
          <w:szCs w:val="22"/>
        </w:rPr>
        <w:t>providências necessárias para regularizar a situação ou apresentar contestação escrita.</w:t>
      </w:r>
    </w:p>
    <w:p w14:paraId="2E2AF7A3" w14:textId="16B43930" w:rsidR="0005537C" w:rsidRPr="002530D9" w:rsidRDefault="0005537C" w:rsidP="00DE752C">
      <w:pPr>
        <w:tabs>
          <w:tab w:val="left" w:pos="1418"/>
        </w:tabs>
        <w:spacing w:after="120"/>
        <w:jc w:val="both"/>
        <w:rPr>
          <w:rFonts w:ascii="Times New Roman" w:hAnsi="Times New Roman"/>
          <w:sz w:val="22"/>
          <w:szCs w:val="22"/>
        </w:rPr>
      </w:pPr>
      <w:r w:rsidRPr="002530D9">
        <w:rPr>
          <w:rFonts w:ascii="Times New Roman" w:hAnsi="Times New Roman"/>
          <w:sz w:val="22"/>
          <w:szCs w:val="22"/>
        </w:rPr>
        <w:t>Notificada</w:t>
      </w:r>
      <w:r w:rsidR="002530D9" w:rsidRPr="002530D9">
        <w:rPr>
          <w:rFonts w:ascii="Times New Roman" w:hAnsi="Times New Roman"/>
          <w:sz w:val="22"/>
          <w:szCs w:val="22"/>
        </w:rPr>
        <w:t xml:space="preserve"> </w:t>
      </w:r>
      <w:r w:rsidR="009009ED">
        <w:rPr>
          <w:rFonts w:ascii="Times New Roman" w:hAnsi="Times New Roman"/>
          <w:sz w:val="22"/>
          <w:szCs w:val="22"/>
        </w:rPr>
        <w:t xml:space="preserve">por edital, </w:t>
      </w:r>
      <w:r w:rsidR="002530D9" w:rsidRPr="002530D9">
        <w:rPr>
          <w:rFonts w:ascii="Times New Roman" w:hAnsi="Times New Roman"/>
          <w:sz w:val="22"/>
          <w:szCs w:val="22"/>
        </w:rPr>
        <w:t xml:space="preserve">em </w:t>
      </w:r>
      <w:r w:rsidR="009009ED">
        <w:rPr>
          <w:rFonts w:ascii="Times New Roman" w:hAnsi="Times New Roman"/>
          <w:sz w:val="22"/>
          <w:szCs w:val="22"/>
        </w:rPr>
        <w:t>29/04/2019</w:t>
      </w:r>
      <w:r w:rsidRPr="002530D9">
        <w:rPr>
          <w:rFonts w:ascii="Times New Roman" w:hAnsi="Times New Roman"/>
          <w:sz w:val="22"/>
          <w:szCs w:val="22"/>
        </w:rPr>
        <w:t>, a parte interessada permaneceu silente.</w:t>
      </w:r>
    </w:p>
    <w:p w14:paraId="3E824C1B" w14:textId="3CA30488" w:rsidR="0005537C" w:rsidRPr="009009ED" w:rsidRDefault="0005537C" w:rsidP="00DE752C">
      <w:pPr>
        <w:tabs>
          <w:tab w:val="left" w:pos="1418"/>
        </w:tabs>
        <w:spacing w:after="120"/>
        <w:jc w:val="both"/>
        <w:rPr>
          <w:rFonts w:ascii="Times New Roman" w:hAnsi="Times New Roman"/>
          <w:sz w:val="22"/>
          <w:szCs w:val="22"/>
        </w:rPr>
      </w:pPr>
      <w:r w:rsidRPr="009009ED">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08734E">
        <w:rPr>
          <w:rFonts w:ascii="Times New Roman" w:hAnsi="Times New Roman"/>
          <w:sz w:val="22"/>
          <w:szCs w:val="22"/>
        </w:rPr>
        <w:t>11</w:t>
      </w:r>
      <w:r w:rsidR="002530D9" w:rsidRPr="009009ED">
        <w:rPr>
          <w:rFonts w:ascii="Times New Roman" w:hAnsi="Times New Roman"/>
          <w:sz w:val="22"/>
          <w:szCs w:val="22"/>
        </w:rPr>
        <w:t>/0</w:t>
      </w:r>
      <w:r w:rsidR="009009ED" w:rsidRPr="009009ED">
        <w:rPr>
          <w:rFonts w:ascii="Times New Roman" w:hAnsi="Times New Roman"/>
          <w:sz w:val="22"/>
          <w:szCs w:val="22"/>
        </w:rPr>
        <w:t>7</w:t>
      </w:r>
      <w:r w:rsidR="002530D9" w:rsidRPr="009009ED">
        <w:rPr>
          <w:rFonts w:ascii="Times New Roman" w:hAnsi="Times New Roman"/>
          <w:sz w:val="22"/>
          <w:szCs w:val="22"/>
        </w:rPr>
        <w:t>/2019</w:t>
      </w:r>
      <w:r w:rsidRPr="009009ED">
        <w:rPr>
          <w:rFonts w:ascii="Times New Roman" w:hAnsi="Times New Roman"/>
          <w:sz w:val="22"/>
          <w:szCs w:val="22"/>
        </w:rPr>
        <w:t xml:space="preserve">, o Auto de Infração, fixando a multa no valor de R$ </w:t>
      </w:r>
      <w:r w:rsidR="006571F6">
        <w:rPr>
          <w:rFonts w:ascii="Times New Roman" w:hAnsi="Times New Roman"/>
          <w:sz w:val="22"/>
          <w:szCs w:val="22"/>
        </w:rPr>
        <w:t>2.763,90</w:t>
      </w:r>
      <w:r w:rsidRPr="009009ED">
        <w:rPr>
          <w:rFonts w:ascii="Times New Roman" w:hAnsi="Times New Roman"/>
          <w:sz w:val="22"/>
          <w:szCs w:val="22"/>
        </w:rPr>
        <w:t xml:space="preserve"> (</w:t>
      </w:r>
      <w:r w:rsidR="006571F6">
        <w:rPr>
          <w:rFonts w:ascii="Times New Roman" w:hAnsi="Times New Roman"/>
          <w:sz w:val="22"/>
          <w:szCs w:val="22"/>
        </w:rPr>
        <w:t>dois mil setecentos e sessenta e três reais e noventa</w:t>
      </w:r>
      <w:r w:rsidR="002530D9" w:rsidRPr="009009ED">
        <w:rPr>
          <w:rFonts w:ascii="Times New Roman" w:hAnsi="Times New Roman"/>
          <w:sz w:val="22"/>
          <w:szCs w:val="22"/>
        </w:rPr>
        <w:t xml:space="preserve"> centavos</w:t>
      </w:r>
      <w:r w:rsidRPr="009009ED">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6D03EB39" w14:textId="63140410" w:rsidR="0005537C" w:rsidRPr="002530D9" w:rsidRDefault="0005537C" w:rsidP="00DE752C">
      <w:pPr>
        <w:tabs>
          <w:tab w:val="left" w:pos="1418"/>
        </w:tabs>
        <w:spacing w:after="120"/>
        <w:jc w:val="both"/>
        <w:rPr>
          <w:rFonts w:ascii="Times New Roman" w:hAnsi="Times New Roman"/>
          <w:sz w:val="22"/>
          <w:szCs w:val="22"/>
        </w:rPr>
      </w:pPr>
      <w:r w:rsidRPr="002530D9">
        <w:rPr>
          <w:rFonts w:ascii="Times New Roman" w:hAnsi="Times New Roman"/>
          <w:sz w:val="22"/>
          <w:szCs w:val="22"/>
        </w:rPr>
        <w:t xml:space="preserve">Intimada </w:t>
      </w:r>
      <w:r w:rsidR="004D1CC7">
        <w:rPr>
          <w:rFonts w:ascii="Times New Roman" w:hAnsi="Times New Roman"/>
          <w:sz w:val="22"/>
          <w:szCs w:val="22"/>
        </w:rPr>
        <w:t xml:space="preserve">por edital, </w:t>
      </w:r>
      <w:r w:rsidR="002530D9" w:rsidRPr="002530D9">
        <w:rPr>
          <w:rFonts w:ascii="Times New Roman" w:hAnsi="Times New Roman"/>
          <w:sz w:val="22"/>
          <w:szCs w:val="22"/>
        </w:rPr>
        <w:t xml:space="preserve">em </w:t>
      </w:r>
      <w:r w:rsidR="004D1CC7">
        <w:rPr>
          <w:rFonts w:ascii="Times New Roman" w:hAnsi="Times New Roman"/>
          <w:sz w:val="22"/>
          <w:szCs w:val="22"/>
        </w:rPr>
        <w:t>1</w:t>
      </w:r>
      <w:r w:rsidR="009009ED">
        <w:rPr>
          <w:rFonts w:ascii="Times New Roman" w:hAnsi="Times New Roman"/>
          <w:sz w:val="22"/>
          <w:szCs w:val="22"/>
        </w:rPr>
        <w:t>1</w:t>
      </w:r>
      <w:r w:rsidR="004D1CC7">
        <w:rPr>
          <w:rFonts w:ascii="Times New Roman" w:hAnsi="Times New Roman"/>
          <w:sz w:val="22"/>
          <w:szCs w:val="22"/>
        </w:rPr>
        <w:t>/</w:t>
      </w:r>
      <w:r w:rsidR="009009ED">
        <w:rPr>
          <w:rFonts w:ascii="Times New Roman" w:hAnsi="Times New Roman"/>
          <w:sz w:val="22"/>
          <w:szCs w:val="22"/>
        </w:rPr>
        <w:t>09</w:t>
      </w:r>
      <w:r w:rsidR="004D1CC7">
        <w:rPr>
          <w:rFonts w:ascii="Times New Roman" w:hAnsi="Times New Roman"/>
          <w:sz w:val="22"/>
          <w:szCs w:val="22"/>
        </w:rPr>
        <w:t>/2019</w:t>
      </w:r>
      <w:r w:rsidRPr="002530D9">
        <w:rPr>
          <w:rFonts w:ascii="Times New Roman" w:hAnsi="Times New Roman"/>
          <w:sz w:val="22"/>
          <w:szCs w:val="22"/>
        </w:rPr>
        <w:t xml:space="preserve">, a parte interessada </w:t>
      </w:r>
      <w:r w:rsidR="002530D9" w:rsidRPr="002530D9">
        <w:rPr>
          <w:rFonts w:ascii="Times New Roman" w:hAnsi="Times New Roman"/>
          <w:sz w:val="22"/>
          <w:szCs w:val="22"/>
        </w:rPr>
        <w:t xml:space="preserve">não </w:t>
      </w:r>
      <w:r w:rsidRPr="002530D9">
        <w:rPr>
          <w:rFonts w:ascii="Times New Roman" w:hAnsi="Times New Roman"/>
          <w:sz w:val="22"/>
          <w:szCs w:val="22"/>
        </w:rPr>
        <w:t>apresentou defesa.</w:t>
      </w:r>
    </w:p>
    <w:p w14:paraId="567CD76F" w14:textId="0DD9E65F" w:rsidR="00292F0D" w:rsidRPr="002530D9" w:rsidRDefault="0005537C" w:rsidP="00DE752C">
      <w:pPr>
        <w:tabs>
          <w:tab w:val="left" w:pos="1418"/>
        </w:tabs>
        <w:spacing w:after="120"/>
        <w:jc w:val="both"/>
        <w:rPr>
          <w:rFonts w:ascii="Times New Roman" w:hAnsi="Times New Roman"/>
          <w:sz w:val="22"/>
          <w:szCs w:val="22"/>
        </w:rPr>
      </w:pPr>
      <w:r w:rsidRPr="002530D9">
        <w:rPr>
          <w:rFonts w:ascii="Times New Roman" w:hAnsi="Times New Roman"/>
          <w:sz w:val="22"/>
          <w:szCs w:val="22"/>
        </w:rPr>
        <w:t>O processo, então, foi submetido à CEP-CAU/RS para julgamento, com base no art. 19, da Resolução CAU/BR nº 022/2012.</w:t>
      </w:r>
    </w:p>
    <w:p w14:paraId="0E61B0CB" w14:textId="77777777" w:rsidR="00292F0D" w:rsidRPr="002530D9" w:rsidRDefault="00510B55" w:rsidP="003F3E12">
      <w:pPr>
        <w:tabs>
          <w:tab w:val="left" w:pos="1418"/>
        </w:tabs>
        <w:jc w:val="both"/>
        <w:rPr>
          <w:rFonts w:ascii="Times New Roman" w:hAnsi="Times New Roman"/>
          <w:sz w:val="22"/>
          <w:szCs w:val="22"/>
        </w:rPr>
      </w:pPr>
      <w:r w:rsidRPr="002530D9">
        <w:rPr>
          <w:rFonts w:ascii="Times New Roman" w:hAnsi="Times New Roman"/>
          <w:sz w:val="22"/>
          <w:szCs w:val="22"/>
        </w:rPr>
        <w:t>É o relatório.</w:t>
      </w:r>
    </w:p>
    <w:p w14:paraId="54C80BB3" w14:textId="77777777" w:rsidR="00292F0D" w:rsidRPr="003C1C5F" w:rsidRDefault="00FA2B3C"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C1C5F" w:rsidRPr="003C1C5F" w14:paraId="53BF24C4" w14:textId="77777777" w:rsidTr="00DE752C">
        <w:trPr>
          <w:trHeight w:hRule="exact" w:val="312"/>
          <w:jc w:val="center"/>
        </w:trPr>
        <w:tc>
          <w:tcPr>
            <w:tcW w:w="9356"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Default="00FA2B3C" w:rsidP="002530D9">
      <w:pPr>
        <w:jc w:val="both"/>
        <w:rPr>
          <w:rFonts w:ascii="Times New Roman" w:hAnsi="Times New Roman"/>
          <w:sz w:val="22"/>
          <w:szCs w:val="22"/>
        </w:rPr>
      </w:pPr>
    </w:p>
    <w:p w14:paraId="5532B8E9" w14:textId="3C7D2FFF" w:rsidR="002530D9" w:rsidRPr="002530D9" w:rsidRDefault="0031608F" w:rsidP="002530D9">
      <w:pPr>
        <w:jc w:val="both"/>
        <w:rPr>
          <w:rFonts w:ascii="Times New Roman" w:hAnsi="Times New Roman"/>
          <w:sz w:val="22"/>
          <w:szCs w:val="22"/>
        </w:rPr>
      </w:pPr>
      <w:r>
        <w:rPr>
          <w:rFonts w:ascii="Times New Roman" w:hAnsi="Times New Roman"/>
          <w:sz w:val="22"/>
          <w:szCs w:val="22"/>
        </w:rPr>
        <w:t xml:space="preserve">Inicialmente, faz-se importante mencionar que </w:t>
      </w:r>
      <w:r w:rsidR="002530D9" w:rsidRPr="002530D9">
        <w:rPr>
          <w:rFonts w:ascii="Times New Roman" w:hAnsi="Times New Roman"/>
          <w:sz w:val="22"/>
          <w:szCs w:val="22"/>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5ECACAC" w14:textId="77777777" w:rsidR="002530D9" w:rsidRPr="004B3D47" w:rsidRDefault="002530D9" w:rsidP="00DE752C">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4104E9D" w14:textId="77777777" w:rsidR="002530D9" w:rsidRPr="002530D9" w:rsidRDefault="002530D9" w:rsidP="002530D9">
      <w:pPr>
        <w:jc w:val="both"/>
        <w:rPr>
          <w:rFonts w:ascii="Times New Roman" w:hAnsi="Times New Roman"/>
          <w:sz w:val="22"/>
          <w:szCs w:val="22"/>
        </w:rPr>
      </w:pPr>
      <w:r w:rsidRPr="002530D9">
        <w:rPr>
          <w:rFonts w:ascii="Times New Roman" w:hAnsi="Times New Roman"/>
          <w:sz w:val="22"/>
          <w:szCs w:val="22"/>
        </w:rPr>
        <w:lastRenderedPageBreak/>
        <w:t>Salienta-se que o art. 7º, da Lei nº 12.378/2010, estipula:</w:t>
      </w:r>
    </w:p>
    <w:p w14:paraId="30A4D5D2" w14:textId="77777777" w:rsidR="002530D9" w:rsidRPr="002530D9" w:rsidRDefault="002530D9" w:rsidP="00DE752C">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AE45797" w14:textId="77777777" w:rsidR="002530D9" w:rsidRPr="002530D9" w:rsidRDefault="002530D9" w:rsidP="002530D9">
      <w:pPr>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050131B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19DD2EF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555FB2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5358E3E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142C470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01AD81C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78598064"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1C9F844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2EA168D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013FAE9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0318957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612AD730"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438E336D"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4157A5CE"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A809512"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11E3A71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658DBEC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09DC8C3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2° Se a baixa for solicitada pela pessoa jurídica, e esta possuir um único responsável técnico, somente será efetuada a baixa a partir do registro de novo responsável técnico.</w:t>
      </w:r>
    </w:p>
    <w:p w14:paraId="6CFC157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3° Se a baixa for solicitada pela pessoa jurídica, e se esta possuir mais de um responsável técnico, a solicitação será atendida de imediato.</w:t>
      </w:r>
    </w:p>
    <w:p w14:paraId="1DD036E5"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57D6BF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486999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1AC001B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46866B44" w14:textId="3B358645" w:rsidR="002530D9" w:rsidRPr="00DE752C" w:rsidRDefault="002530D9" w:rsidP="00DE752C">
      <w:pPr>
        <w:spacing w:after="120"/>
        <w:ind w:left="1134"/>
        <w:jc w:val="both"/>
        <w:rPr>
          <w:rFonts w:ascii="Times New Roman" w:hAnsi="Times New Roman"/>
          <w:i/>
          <w:iCs/>
          <w:sz w:val="20"/>
          <w:szCs w:val="20"/>
        </w:rPr>
      </w:pPr>
      <w:r w:rsidRPr="002530D9">
        <w:rPr>
          <w:rFonts w:ascii="Times New Roman" w:hAnsi="Times New Roman"/>
          <w:i/>
          <w:iCs/>
          <w:sz w:val="20"/>
          <w:szCs w:val="20"/>
        </w:rPr>
        <w:lastRenderedPageBreak/>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04BD8904" w14:textId="3C2CF24F" w:rsidR="002530D9" w:rsidRPr="002530D9" w:rsidRDefault="002530D9" w:rsidP="00DE752C">
      <w:pPr>
        <w:spacing w:after="120"/>
        <w:jc w:val="both"/>
        <w:rPr>
          <w:rFonts w:ascii="Times New Roman" w:hAnsi="Times New Roman"/>
          <w:sz w:val="22"/>
          <w:szCs w:val="22"/>
        </w:rPr>
      </w:pPr>
      <w:r w:rsidRPr="002530D9">
        <w:rPr>
          <w:rFonts w:ascii="Times New Roman" w:hAnsi="Times New Roman"/>
          <w:sz w:val="22"/>
          <w:szCs w:val="22"/>
        </w:rPr>
        <w:t xml:space="preserve">Desta forma, </w:t>
      </w:r>
      <w:r w:rsidR="0031608F">
        <w:rPr>
          <w:rFonts w:ascii="Times New Roman" w:hAnsi="Times New Roman"/>
          <w:sz w:val="22"/>
          <w:szCs w:val="22"/>
        </w:rPr>
        <w:t xml:space="preserve">nos casos em que </w:t>
      </w:r>
      <w:r w:rsidRPr="002530D9">
        <w:rPr>
          <w:rFonts w:ascii="Times New Roman" w:hAnsi="Times New Roman"/>
          <w:sz w:val="22"/>
          <w:szCs w:val="22"/>
        </w:rPr>
        <w:t xml:space="preserve">a atividade </w:t>
      </w:r>
      <w:r w:rsidR="0031608F">
        <w:rPr>
          <w:rFonts w:ascii="Times New Roman" w:hAnsi="Times New Roman"/>
          <w:sz w:val="22"/>
          <w:szCs w:val="22"/>
        </w:rPr>
        <w:t xml:space="preserve">da empresa </w:t>
      </w:r>
      <w:r w:rsidRPr="002530D9">
        <w:rPr>
          <w:rFonts w:ascii="Times New Roman" w:hAnsi="Times New Roman"/>
          <w:sz w:val="22"/>
          <w:szCs w:val="22"/>
        </w:rPr>
        <w:t>envolver</w:t>
      </w:r>
      <w:r w:rsidR="0031608F">
        <w:rPr>
          <w:rFonts w:ascii="Times New Roman" w:hAnsi="Times New Roman"/>
          <w:sz w:val="22"/>
          <w:szCs w:val="22"/>
        </w:rPr>
        <w:t xml:space="preserve"> serviços </w:t>
      </w:r>
      <w:r w:rsidRPr="002530D9">
        <w:rPr>
          <w:rFonts w:ascii="Times New Roman" w:hAnsi="Times New Roman"/>
          <w:sz w:val="22"/>
          <w:szCs w:val="22"/>
        </w:rPr>
        <w:t>que se constitu</w:t>
      </w:r>
      <w:r w:rsidR="0031608F">
        <w:rPr>
          <w:rFonts w:ascii="Times New Roman" w:hAnsi="Times New Roman"/>
          <w:sz w:val="22"/>
          <w:szCs w:val="22"/>
        </w:rPr>
        <w:t>em</w:t>
      </w:r>
      <w:r w:rsidRPr="002530D9">
        <w:rPr>
          <w:rFonts w:ascii="Times New Roman" w:hAnsi="Times New Roman"/>
          <w:sz w:val="22"/>
          <w:szCs w:val="22"/>
        </w:rPr>
        <w:t xml:space="preserve"> como atividade </w:t>
      </w:r>
      <w:r w:rsidR="0031608F">
        <w:rPr>
          <w:rFonts w:ascii="Times New Roman" w:hAnsi="Times New Roman"/>
          <w:sz w:val="22"/>
          <w:szCs w:val="22"/>
        </w:rPr>
        <w:t xml:space="preserve">privativa ou </w:t>
      </w:r>
      <w:r w:rsidRPr="002530D9">
        <w:rPr>
          <w:rFonts w:ascii="Times New Roman" w:hAnsi="Times New Roman"/>
          <w:sz w:val="22"/>
          <w:szCs w:val="22"/>
        </w:rPr>
        <w:t>compartilhada da profissão de arquitetura e urbanismo, nos termos da</w:t>
      </w:r>
      <w:r w:rsidR="0031608F">
        <w:rPr>
          <w:rFonts w:ascii="Times New Roman" w:hAnsi="Times New Roman"/>
          <w:sz w:val="22"/>
          <w:szCs w:val="22"/>
        </w:rPr>
        <w:t>s</w:t>
      </w:r>
      <w:r w:rsidRPr="002530D9">
        <w:rPr>
          <w:rFonts w:ascii="Times New Roman" w:hAnsi="Times New Roman"/>
          <w:sz w:val="22"/>
          <w:szCs w:val="22"/>
        </w:rPr>
        <w:t xml:space="preserve"> Resoluç</w:t>
      </w:r>
      <w:r w:rsidR="0031608F">
        <w:rPr>
          <w:rFonts w:ascii="Times New Roman" w:hAnsi="Times New Roman"/>
          <w:sz w:val="22"/>
          <w:szCs w:val="22"/>
        </w:rPr>
        <w:t>ões</w:t>
      </w:r>
      <w:r w:rsidRPr="002530D9">
        <w:rPr>
          <w:rFonts w:ascii="Times New Roman" w:hAnsi="Times New Roman"/>
          <w:sz w:val="22"/>
          <w:szCs w:val="22"/>
        </w:rPr>
        <w:t xml:space="preserve"> CAU/BR nº 021/2012</w:t>
      </w:r>
      <w:r w:rsidR="0031608F">
        <w:rPr>
          <w:rFonts w:ascii="Times New Roman" w:hAnsi="Times New Roman"/>
          <w:sz w:val="22"/>
          <w:szCs w:val="22"/>
        </w:rPr>
        <w:t xml:space="preserve"> e nº 051/2013</w:t>
      </w:r>
      <w:r w:rsidRPr="002530D9">
        <w:rPr>
          <w:rFonts w:ascii="Times New Roman" w:hAnsi="Times New Roman"/>
          <w:sz w:val="22"/>
          <w:szCs w:val="22"/>
        </w:rPr>
        <w:t xml:space="preserve">, </w:t>
      </w:r>
      <w:r w:rsidR="0031608F">
        <w:rPr>
          <w:rFonts w:ascii="Times New Roman" w:hAnsi="Times New Roman"/>
          <w:sz w:val="22"/>
          <w:szCs w:val="22"/>
        </w:rPr>
        <w:t xml:space="preserve">serão obrigatórios o registro e a </w:t>
      </w:r>
      <w:r w:rsidRPr="002530D9">
        <w:rPr>
          <w:rFonts w:ascii="Times New Roman" w:hAnsi="Times New Roman"/>
          <w:sz w:val="22"/>
          <w:szCs w:val="22"/>
        </w:rPr>
        <w:t>manutenção de profissional que se responsabilize pelas atividades técnicas da pessoa jurídica, por meio de Registro de Responsabilidade Técnica – RRT.</w:t>
      </w:r>
    </w:p>
    <w:p w14:paraId="72DA92C6" w14:textId="38810B91" w:rsidR="002530D9" w:rsidRPr="002530D9" w:rsidRDefault="002530D9" w:rsidP="00DE752C">
      <w:pPr>
        <w:spacing w:after="120"/>
        <w:jc w:val="both"/>
        <w:rPr>
          <w:rFonts w:ascii="Times New Roman" w:hAnsi="Times New Roman"/>
          <w:sz w:val="22"/>
          <w:szCs w:val="22"/>
        </w:rPr>
      </w:pPr>
      <w:r w:rsidRPr="002530D9">
        <w:rPr>
          <w:rFonts w:ascii="Times New Roman" w:hAnsi="Times New Roman"/>
          <w:sz w:val="22"/>
          <w:szCs w:val="22"/>
        </w:rPr>
        <w:t>A regularidade do Auto de Infração</w:t>
      </w:r>
      <w:r w:rsidR="0031608F">
        <w:rPr>
          <w:rFonts w:ascii="Times New Roman" w:hAnsi="Times New Roman"/>
          <w:sz w:val="22"/>
          <w:szCs w:val="22"/>
        </w:rPr>
        <w:t>, contudo,</w:t>
      </w:r>
      <w:r w:rsidRPr="002530D9">
        <w:rPr>
          <w:rFonts w:ascii="Times New Roman" w:hAnsi="Times New Roman"/>
          <w:sz w:val="22"/>
          <w:szCs w:val="22"/>
        </w:rPr>
        <w:t xml:space="preserve">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w:t>
      </w:r>
      <w:r w:rsidR="0031608F">
        <w:rPr>
          <w:rFonts w:ascii="Times New Roman" w:hAnsi="Times New Roman"/>
          <w:sz w:val="22"/>
          <w:szCs w:val="22"/>
        </w:rPr>
        <w:t>ir</w:t>
      </w:r>
      <w:r w:rsidRPr="002530D9">
        <w:rPr>
          <w:rFonts w:ascii="Times New Roman" w:hAnsi="Times New Roman"/>
          <w:sz w:val="22"/>
          <w:szCs w:val="22"/>
        </w:rPr>
        <w:t>regular</w:t>
      </w:r>
      <w:r w:rsidR="0031608F">
        <w:rPr>
          <w:rFonts w:ascii="Times New Roman" w:hAnsi="Times New Roman"/>
          <w:sz w:val="22"/>
          <w:szCs w:val="22"/>
        </w:rPr>
        <w:t>, uma vez que, quando da efetivação da notificação preventiva, a empresa encontrava-se com o CNPJ inapto perante a Receita Federal, não podendo exercer qualquer atividade profissional</w:t>
      </w:r>
      <w:r w:rsidRPr="002530D9">
        <w:rPr>
          <w:rFonts w:ascii="Times New Roman" w:hAnsi="Times New Roman"/>
          <w:sz w:val="22"/>
          <w:szCs w:val="22"/>
        </w:rPr>
        <w:t>.</w:t>
      </w:r>
    </w:p>
    <w:p w14:paraId="6D615FEB" w14:textId="62E30289" w:rsidR="0031608F" w:rsidRPr="00061880" w:rsidRDefault="0031608F" w:rsidP="002530D9">
      <w:pPr>
        <w:jc w:val="both"/>
        <w:rPr>
          <w:rFonts w:ascii="Times New Roman" w:hAnsi="Times New Roman"/>
          <w:sz w:val="22"/>
          <w:szCs w:val="22"/>
        </w:rPr>
      </w:pPr>
      <w:r>
        <w:rPr>
          <w:rFonts w:ascii="Times New Roman" w:hAnsi="Times New Roman"/>
          <w:sz w:val="22"/>
          <w:szCs w:val="22"/>
        </w:rPr>
        <w:t xml:space="preserve">Nesse sentido, deve ser anulado o auto de infração, por falta de cumprimento de formalidade legal, tendo em vista que a empresa é considerada inapta para o exercício de qualquer atividade profissional, não sendo lógico se exigir a </w:t>
      </w:r>
      <w:r w:rsidR="00061880" w:rsidRPr="00061880">
        <w:rPr>
          <w:rFonts w:ascii="Times New Roman" w:hAnsi="Times New Roman"/>
          <w:sz w:val="22"/>
          <w:szCs w:val="22"/>
        </w:rPr>
        <w:t>manutenção do registro e a anotação de responsável técnico com RRT de cargo e função, enquanto perdurar tal situação.</w:t>
      </w:r>
    </w:p>
    <w:p w14:paraId="00547794" w14:textId="77777777" w:rsidR="00E94791" w:rsidRPr="00061880" w:rsidRDefault="00FA2B3C" w:rsidP="00E9479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061880" w:rsidRPr="00061880" w14:paraId="49846028" w14:textId="77777777" w:rsidTr="00DE752C">
        <w:trPr>
          <w:trHeight w:hRule="exact" w:val="312"/>
          <w:jc w:val="center"/>
        </w:trPr>
        <w:tc>
          <w:tcPr>
            <w:tcW w:w="9240" w:type="dxa"/>
            <w:shd w:val="pct5" w:color="auto" w:fill="auto"/>
            <w:vAlign w:val="center"/>
          </w:tcPr>
          <w:p w14:paraId="1BC757EA" w14:textId="77777777" w:rsidR="00323427" w:rsidRPr="00061880" w:rsidRDefault="00510B55" w:rsidP="007B7706">
            <w:pPr>
              <w:tabs>
                <w:tab w:val="left" w:pos="0"/>
              </w:tabs>
              <w:jc w:val="center"/>
              <w:rPr>
                <w:rFonts w:ascii="Times New Roman" w:hAnsi="Times New Roman"/>
              </w:rPr>
            </w:pPr>
            <w:r w:rsidRPr="00061880">
              <w:rPr>
                <w:rFonts w:ascii="Times New Roman" w:hAnsi="Times New Roman"/>
                <w:b/>
                <w:sz w:val="22"/>
                <w:szCs w:val="22"/>
              </w:rPr>
              <w:t>CONCLUSÃO</w:t>
            </w:r>
          </w:p>
        </w:tc>
      </w:tr>
    </w:tbl>
    <w:p w14:paraId="73F54956" w14:textId="3E6C74B7" w:rsidR="00572300" w:rsidRPr="00061880" w:rsidRDefault="00FA2B3C" w:rsidP="00323427">
      <w:pPr>
        <w:rPr>
          <w:rFonts w:ascii="Times New Roman" w:hAnsi="Times New Roman"/>
          <w:sz w:val="22"/>
          <w:szCs w:val="22"/>
        </w:rPr>
      </w:pPr>
    </w:p>
    <w:p w14:paraId="0BC19BC0" w14:textId="38741E26" w:rsidR="0031608F" w:rsidRPr="00061880" w:rsidRDefault="0031608F" w:rsidP="00693968">
      <w:pPr>
        <w:jc w:val="both"/>
        <w:rPr>
          <w:rFonts w:ascii="Times New Roman" w:hAnsi="Times New Roman"/>
          <w:sz w:val="22"/>
          <w:szCs w:val="22"/>
        </w:rPr>
      </w:pPr>
      <w:r w:rsidRPr="00061880">
        <w:rPr>
          <w:rFonts w:ascii="Times New Roman" w:hAnsi="Times New Roman"/>
          <w:sz w:val="22"/>
          <w:szCs w:val="22"/>
        </w:rPr>
        <w:t xml:space="preserve">Deste modo, demonstrado que o Auto de Infração foi constituído de forma irregular, por desrespeito às regras previstas nos artigos 15 e 16, da Resolução CAU/BR nº 022/2012, pois não observou os requisitos para sua constituição, opino pela extinção do processo, com fulcro no art. 44, incisos I e III, c/c art. 38, inciso </w:t>
      </w:r>
      <w:r w:rsidR="00061880" w:rsidRPr="00061880">
        <w:rPr>
          <w:rFonts w:ascii="Times New Roman" w:hAnsi="Times New Roman"/>
          <w:sz w:val="22"/>
          <w:szCs w:val="22"/>
        </w:rPr>
        <w:t>VI</w:t>
      </w:r>
      <w:r w:rsidRPr="00061880">
        <w:rPr>
          <w:rFonts w:ascii="Times New Roman" w:hAnsi="Times New Roman"/>
          <w:sz w:val="22"/>
          <w:szCs w:val="22"/>
        </w:rPr>
        <w:t>, da citada Resolução.</w:t>
      </w:r>
    </w:p>
    <w:p w14:paraId="5835F05A" w14:textId="77777777" w:rsidR="0080395B" w:rsidRPr="00061880" w:rsidRDefault="00FA2B3C" w:rsidP="00DD6BFA">
      <w:pPr>
        <w:tabs>
          <w:tab w:val="left" w:pos="1418"/>
        </w:tabs>
        <w:jc w:val="both"/>
        <w:rPr>
          <w:rFonts w:ascii="Times New Roman" w:hAnsi="Times New Roman"/>
          <w:sz w:val="22"/>
          <w:szCs w:val="22"/>
        </w:rPr>
      </w:pPr>
    </w:p>
    <w:p w14:paraId="3F9BE9F0" w14:textId="7F1F44D3" w:rsidR="005D2B35" w:rsidRPr="00FB12CC" w:rsidRDefault="00510B55" w:rsidP="00DE752C">
      <w:pPr>
        <w:tabs>
          <w:tab w:val="left" w:pos="1418"/>
        </w:tabs>
        <w:jc w:val="right"/>
        <w:rPr>
          <w:rFonts w:ascii="Times New Roman" w:hAnsi="Times New Roman"/>
          <w:sz w:val="22"/>
          <w:szCs w:val="22"/>
        </w:rPr>
      </w:pPr>
      <w:r w:rsidRPr="00061880">
        <w:rPr>
          <w:rFonts w:ascii="Times New Roman" w:hAnsi="Times New Roman"/>
          <w:sz w:val="22"/>
          <w:szCs w:val="22"/>
        </w:rPr>
        <w:t xml:space="preserve">Porto Alegre – </w:t>
      </w:r>
      <w:r w:rsidRPr="00FB12CC">
        <w:rPr>
          <w:rFonts w:ascii="Times New Roman" w:hAnsi="Times New Roman"/>
          <w:sz w:val="22"/>
          <w:szCs w:val="22"/>
        </w:rPr>
        <w:t xml:space="preserve">RS, </w:t>
      </w:r>
      <w:r w:rsidR="00DE752C">
        <w:rPr>
          <w:rFonts w:ascii="Times New Roman" w:hAnsi="Times New Roman"/>
          <w:sz w:val="22"/>
          <w:szCs w:val="22"/>
        </w:rPr>
        <w:t xml:space="preserve">22 de outubro </w:t>
      </w:r>
      <w:r w:rsidRPr="00FB12CC">
        <w:rPr>
          <w:rFonts w:ascii="Times New Roman" w:hAnsi="Times New Roman"/>
          <w:sz w:val="22"/>
          <w:szCs w:val="22"/>
        </w:rPr>
        <w:t>de 20</w:t>
      </w:r>
      <w:r w:rsidR="004D1CC7">
        <w:rPr>
          <w:rFonts w:ascii="Times New Roman" w:hAnsi="Times New Roman"/>
          <w:sz w:val="22"/>
          <w:szCs w:val="22"/>
        </w:rPr>
        <w:t>20</w:t>
      </w:r>
      <w:r w:rsidRPr="00FB12CC">
        <w:rPr>
          <w:rFonts w:ascii="Times New Roman" w:hAnsi="Times New Roman"/>
          <w:sz w:val="22"/>
          <w:szCs w:val="22"/>
        </w:rPr>
        <w:t>.</w:t>
      </w:r>
    </w:p>
    <w:p w14:paraId="5B6A6739" w14:textId="77777777" w:rsidR="005D2B35" w:rsidRPr="00FB12CC" w:rsidRDefault="00FA2B3C" w:rsidP="005D2B35">
      <w:pPr>
        <w:tabs>
          <w:tab w:val="left" w:pos="1418"/>
        </w:tabs>
        <w:jc w:val="center"/>
        <w:rPr>
          <w:rFonts w:ascii="Times New Roman" w:hAnsi="Times New Roman"/>
          <w:sz w:val="22"/>
          <w:szCs w:val="22"/>
        </w:rPr>
      </w:pPr>
    </w:p>
    <w:p w14:paraId="1C06EECB" w14:textId="77777777" w:rsidR="005D2B35" w:rsidRDefault="00FA2B3C" w:rsidP="005D2B35">
      <w:pPr>
        <w:tabs>
          <w:tab w:val="left" w:pos="1418"/>
        </w:tabs>
        <w:jc w:val="center"/>
        <w:rPr>
          <w:rFonts w:ascii="Times New Roman" w:hAnsi="Times New Roman"/>
          <w:sz w:val="22"/>
          <w:szCs w:val="22"/>
        </w:rPr>
      </w:pPr>
    </w:p>
    <w:p w14:paraId="0F6CC9A1" w14:textId="77777777" w:rsidR="00DE752C" w:rsidRDefault="00DE752C" w:rsidP="005D2B35">
      <w:pPr>
        <w:tabs>
          <w:tab w:val="left" w:pos="1418"/>
        </w:tabs>
        <w:jc w:val="center"/>
        <w:rPr>
          <w:rFonts w:ascii="Times New Roman" w:hAnsi="Times New Roman"/>
          <w:sz w:val="22"/>
          <w:szCs w:val="22"/>
        </w:rPr>
      </w:pPr>
    </w:p>
    <w:p w14:paraId="5B7FE0AE" w14:textId="77777777" w:rsidR="00DE752C" w:rsidRPr="00FB12CC" w:rsidRDefault="00DE752C"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62E3E4DD" w14:textId="5B666B99" w:rsidR="005D2B35" w:rsidRPr="00E66568" w:rsidRDefault="00DE752C" w:rsidP="00DE752C">
      <w:pPr>
        <w:tabs>
          <w:tab w:val="left" w:pos="1418"/>
        </w:tabs>
        <w:jc w:val="center"/>
        <w:rPr>
          <w:rFonts w:ascii="Times New Roman" w:hAnsi="Times New Roman"/>
          <w:sz w:val="22"/>
          <w:szCs w:val="22"/>
        </w:rPr>
        <w:sectPr w:rsidR="005D2B35" w:rsidRPr="00E66568" w:rsidSect="007B7706">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 w:val="22"/>
          <w:szCs w:val="22"/>
        </w:rPr>
        <w:lastRenderedPageBreak/>
        <w:t>Conselheiro Relator</w:t>
      </w:r>
    </w:p>
    <w:p w14:paraId="5BCFE599" w14:textId="77777777" w:rsidR="00851F01" w:rsidRPr="00E66568" w:rsidRDefault="00FA2B3C" w:rsidP="005D2B35">
      <w:pPr>
        <w:tabs>
          <w:tab w:val="left" w:pos="1418"/>
        </w:tabs>
        <w:jc w:val="both"/>
        <w:rPr>
          <w:rFonts w:ascii="Times New Roman" w:hAnsi="Times New Roman"/>
        </w:rPr>
      </w:pPr>
    </w:p>
    <w:sectPr w:rsidR="00851F01" w:rsidRPr="00E66568"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1514" w14:textId="77777777" w:rsidR="00FF74F9" w:rsidRDefault="00510B55">
      <w:r>
        <w:separator/>
      </w:r>
    </w:p>
  </w:endnote>
  <w:endnote w:type="continuationSeparator" w:id="0">
    <w:p w14:paraId="5D6DB745" w14:textId="77777777" w:rsidR="00FF74F9"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FA2B3C"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FA2B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FA2B3C"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FA2B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1E" w14:textId="77777777" w:rsidR="00FF74F9" w:rsidRDefault="00510B55">
      <w:r>
        <w:separator/>
      </w:r>
    </w:p>
  </w:footnote>
  <w:footnote w:type="continuationSeparator" w:id="0">
    <w:p w14:paraId="423D6F70" w14:textId="77777777" w:rsidR="00FF74F9" w:rsidRDefault="00510B55">
      <w:r>
        <w:continuationSeparator/>
      </w:r>
    </w:p>
  </w:footnote>
  <w:footnote w:id="1">
    <w:p w14:paraId="45ADEF41"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CC067D5"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C5C1A57"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346B4BC8"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1346F8C6"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24C2717D"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52888CA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B89682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16E109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36802C74"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E363AA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175E533"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12E6B42A"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FA2B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FA2B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0"/>
    <w:rsid w:val="0005537C"/>
    <w:rsid w:val="00061880"/>
    <w:rsid w:val="0008734E"/>
    <w:rsid w:val="00101526"/>
    <w:rsid w:val="001C646D"/>
    <w:rsid w:val="002530D9"/>
    <w:rsid w:val="002A4B49"/>
    <w:rsid w:val="0031608F"/>
    <w:rsid w:val="004B3D47"/>
    <w:rsid w:val="004D1CC7"/>
    <w:rsid w:val="00510B55"/>
    <w:rsid w:val="005F01FC"/>
    <w:rsid w:val="006571F6"/>
    <w:rsid w:val="00693968"/>
    <w:rsid w:val="006A6C50"/>
    <w:rsid w:val="008D06D0"/>
    <w:rsid w:val="009009ED"/>
    <w:rsid w:val="00BB1B9D"/>
    <w:rsid w:val="00BC58D9"/>
    <w:rsid w:val="00C07448"/>
    <w:rsid w:val="00DE752C"/>
    <w:rsid w:val="00E00EF1"/>
    <w:rsid w:val="00FA2B3C"/>
    <w:rsid w:val="00FF7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C2660-3FA7-4447-8781-81E0D70D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7365</Characters>
  <Application>Microsoft Office Word</Application>
  <DocSecurity>4</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Luciana Eloy Lima</cp:lastModifiedBy>
  <cp:revision>2</cp:revision>
  <cp:lastPrinted>2018-01-04T14:27:00Z</cp:lastPrinted>
  <dcterms:created xsi:type="dcterms:W3CDTF">2020-12-28T19:15:00Z</dcterms:created>
  <dcterms:modified xsi:type="dcterms:W3CDTF">2020-12-28T19:15:00Z</dcterms:modified>
</cp:coreProperties>
</file>