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18"/>
        <w:gridCol w:w="7546"/>
      </w:tblGrid>
      <w:tr w:rsidR="00120938" w:rsidRPr="00416CE7" w14:paraId="2DE25250" w14:textId="77777777" w:rsidTr="00E42BBF">
        <w:trPr>
          <w:trHeight w:hRule="exact" w:val="598"/>
        </w:trPr>
        <w:tc>
          <w:tcPr>
            <w:tcW w:w="1918" w:type="dxa"/>
            <w:tcBorders>
              <w:top w:val="single" w:sz="12" w:space="0" w:color="808080"/>
              <w:left w:val="nil"/>
              <w:bottom w:val="single" w:sz="18" w:space="0" w:color="808080"/>
              <w:right w:val="single" w:sz="12" w:space="0" w:color="808080"/>
            </w:tcBorders>
            <w:shd w:val="pct5" w:color="auto" w:fill="auto"/>
            <w:vAlign w:val="center"/>
          </w:tcPr>
          <w:p w14:paraId="2BC8C670" w14:textId="75409AED" w:rsidR="00335FB6" w:rsidRPr="0045013B" w:rsidRDefault="006D5B68" w:rsidP="007A258E">
            <w:pPr>
              <w:tabs>
                <w:tab w:val="left" w:pos="1418"/>
              </w:tabs>
              <w:rPr>
                <w:rFonts w:ascii="Times New Roman" w:hAnsi="Times New Roman"/>
                <w:sz w:val="22"/>
                <w:szCs w:val="22"/>
              </w:rPr>
            </w:pPr>
            <w:r w:rsidRPr="0045013B">
              <w:rPr>
                <w:rFonts w:ascii="Times New Roman" w:hAnsi="Times New Roman"/>
                <w:sz w:val="22"/>
                <w:szCs w:val="22"/>
              </w:rPr>
              <w:t>ASSUNTO</w:t>
            </w:r>
          </w:p>
        </w:tc>
        <w:tc>
          <w:tcPr>
            <w:tcW w:w="7546" w:type="dxa"/>
            <w:tcBorders>
              <w:top w:val="single" w:sz="12" w:space="0" w:color="808080"/>
              <w:left w:val="single" w:sz="12" w:space="0" w:color="808080"/>
              <w:bottom w:val="single" w:sz="18" w:space="0" w:color="808080"/>
              <w:right w:val="nil"/>
            </w:tcBorders>
            <w:shd w:val="clear" w:color="auto" w:fill="auto"/>
            <w:vAlign w:val="center"/>
          </w:tcPr>
          <w:p w14:paraId="50718403" w14:textId="4FE9F459" w:rsidR="00335FB6" w:rsidRPr="0045013B" w:rsidRDefault="00726FCB" w:rsidP="00726FCB">
            <w:pPr>
              <w:tabs>
                <w:tab w:val="left" w:pos="1418"/>
              </w:tabs>
              <w:jc w:val="both"/>
              <w:rPr>
                <w:rFonts w:ascii="Times New Roman" w:hAnsi="Times New Roman"/>
                <w:sz w:val="22"/>
                <w:szCs w:val="22"/>
              </w:rPr>
            </w:pPr>
            <w:r>
              <w:rPr>
                <w:rFonts w:ascii="Times New Roman" w:hAnsi="Times New Roman"/>
                <w:sz w:val="22"/>
                <w:szCs w:val="22"/>
              </w:rPr>
              <w:t>REGISTRO DE SEÇÃO TÉCNICA</w:t>
            </w:r>
            <w:r w:rsidR="000F6357" w:rsidRPr="0045013B">
              <w:rPr>
                <w:rFonts w:ascii="Times New Roman" w:hAnsi="Times New Roman"/>
                <w:sz w:val="22"/>
                <w:szCs w:val="22"/>
              </w:rPr>
              <w:t>.</w:t>
            </w:r>
          </w:p>
        </w:tc>
      </w:tr>
      <w:tr w:rsidR="00335FB6" w:rsidRPr="00416CE7" w14:paraId="6DCB345F" w14:textId="77777777" w:rsidTr="00F1105B">
        <w:trPr>
          <w:trHeight w:hRule="exact" w:val="352"/>
        </w:trPr>
        <w:tc>
          <w:tcPr>
            <w:tcW w:w="9464" w:type="dxa"/>
            <w:gridSpan w:val="2"/>
            <w:tcBorders>
              <w:top w:val="single" w:sz="18" w:space="0" w:color="808080"/>
              <w:left w:val="nil"/>
              <w:bottom w:val="single" w:sz="12" w:space="0" w:color="808080"/>
              <w:right w:val="nil"/>
            </w:tcBorders>
            <w:shd w:val="pct5" w:color="auto" w:fill="auto"/>
            <w:vAlign w:val="center"/>
          </w:tcPr>
          <w:p w14:paraId="5E7C9E21" w14:textId="26D4716C" w:rsidR="00335FB6" w:rsidRPr="0045013B" w:rsidRDefault="00335FB6" w:rsidP="0091490C">
            <w:pPr>
              <w:tabs>
                <w:tab w:val="left" w:pos="1418"/>
              </w:tabs>
              <w:jc w:val="center"/>
              <w:rPr>
                <w:rFonts w:ascii="Times New Roman" w:hAnsi="Times New Roman"/>
                <w:sz w:val="22"/>
                <w:szCs w:val="22"/>
              </w:rPr>
            </w:pPr>
            <w:r w:rsidRPr="0045013B">
              <w:rPr>
                <w:rFonts w:ascii="Times New Roman" w:hAnsi="Times New Roman"/>
                <w:b/>
                <w:sz w:val="22"/>
                <w:szCs w:val="22"/>
              </w:rPr>
              <w:t xml:space="preserve">DELIBERAÇÃO Nº </w:t>
            </w:r>
            <w:r w:rsidR="0091490C">
              <w:rPr>
                <w:rFonts w:ascii="Times New Roman" w:hAnsi="Times New Roman"/>
                <w:b/>
                <w:sz w:val="22"/>
                <w:szCs w:val="22"/>
              </w:rPr>
              <w:t>058</w:t>
            </w:r>
            <w:r w:rsidRPr="0045013B">
              <w:rPr>
                <w:rFonts w:ascii="Times New Roman" w:hAnsi="Times New Roman"/>
                <w:b/>
                <w:sz w:val="22"/>
                <w:szCs w:val="22"/>
              </w:rPr>
              <w:t>/201</w:t>
            </w:r>
            <w:r w:rsidR="007A5CDB" w:rsidRPr="0045013B">
              <w:rPr>
                <w:rFonts w:ascii="Times New Roman" w:hAnsi="Times New Roman"/>
                <w:b/>
                <w:sz w:val="22"/>
                <w:szCs w:val="22"/>
              </w:rPr>
              <w:t>8</w:t>
            </w:r>
            <w:r w:rsidRPr="0045013B">
              <w:rPr>
                <w:rFonts w:ascii="Times New Roman" w:hAnsi="Times New Roman"/>
                <w:b/>
                <w:sz w:val="22"/>
                <w:szCs w:val="22"/>
              </w:rPr>
              <w:t xml:space="preserve"> – </w:t>
            </w:r>
            <w:r w:rsidR="00FA7E79" w:rsidRPr="0045013B">
              <w:rPr>
                <w:rFonts w:ascii="Times New Roman" w:hAnsi="Times New Roman"/>
                <w:b/>
                <w:sz w:val="22"/>
                <w:szCs w:val="22"/>
              </w:rPr>
              <w:t>CEP</w:t>
            </w:r>
            <w:r w:rsidRPr="0045013B">
              <w:rPr>
                <w:rFonts w:ascii="Times New Roman" w:hAnsi="Times New Roman"/>
                <w:b/>
                <w:sz w:val="22"/>
                <w:szCs w:val="22"/>
              </w:rPr>
              <w:t>-CAU/RS</w:t>
            </w:r>
          </w:p>
        </w:tc>
      </w:tr>
    </w:tbl>
    <w:p w14:paraId="27A51F4B" w14:textId="77777777" w:rsidR="00335FB6" w:rsidRPr="00416CE7" w:rsidRDefault="00335FB6" w:rsidP="007A258E">
      <w:pPr>
        <w:tabs>
          <w:tab w:val="left" w:pos="1418"/>
        </w:tabs>
        <w:jc w:val="both"/>
        <w:rPr>
          <w:rFonts w:ascii="Times New Roman" w:hAnsi="Times New Roman"/>
          <w:sz w:val="22"/>
          <w:szCs w:val="22"/>
        </w:rPr>
      </w:pPr>
    </w:p>
    <w:p w14:paraId="6750C328" w14:textId="4842DB14" w:rsidR="00FB73D0" w:rsidRPr="00131702" w:rsidRDefault="00FB73D0" w:rsidP="007A258E">
      <w:pPr>
        <w:tabs>
          <w:tab w:val="left" w:pos="1418"/>
        </w:tabs>
        <w:jc w:val="both"/>
        <w:rPr>
          <w:rFonts w:ascii="Times New Roman" w:hAnsi="Times New Roman"/>
          <w:sz w:val="22"/>
          <w:szCs w:val="22"/>
        </w:rPr>
      </w:pPr>
      <w:r w:rsidRPr="00703DD4">
        <w:rPr>
          <w:rFonts w:ascii="Times New Roman" w:hAnsi="Times New Roman"/>
          <w:sz w:val="22"/>
          <w:szCs w:val="22"/>
        </w:rPr>
        <w:t xml:space="preserve">A COMISSÃO DE EXERCÍCIO PROFISSIONAL – </w:t>
      </w:r>
      <w:r w:rsidRPr="008F644F">
        <w:rPr>
          <w:rFonts w:ascii="Times New Roman" w:hAnsi="Times New Roman"/>
          <w:sz w:val="22"/>
          <w:szCs w:val="22"/>
        </w:rPr>
        <w:t>CEP-CAU/RS, reunida</w:t>
      </w:r>
      <w:r w:rsidR="00E76C90">
        <w:rPr>
          <w:rFonts w:ascii="Times New Roman" w:hAnsi="Times New Roman"/>
          <w:sz w:val="22"/>
          <w:szCs w:val="22"/>
        </w:rPr>
        <w:t xml:space="preserve"> ordinariamente em Porto Alegre/</w:t>
      </w:r>
      <w:r w:rsidRPr="008F644F">
        <w:rPr>
          <w:rFonts w:ascii="Times New Roman" w:hAnsi="Times New Roman"/>
          <w:sz w:val="22"/>
          <w:szCs w:val="22"/>
        </w:rPr>
        <w:t xml:space="preserve">RS, </w:t>
      </w:r>
      <w:r w:rsidRPr="00AF2743">
        <w:rPr>
          <w:rFonts w:ascii="Times New Roman" w:hAnsi="Times New Roman"/>
          <w:sz w:val="22"/>
          <w:szCs w:val="22"/>
        </w:rPr>
        <w:t xml:space="preserve">na sede do CAU/RS, </w:t>
      </w:r>
      <w:r w:rsidRPr="0091490C">
        <w:rPr>
          <w:rFonts w:ascii="Times New Roman" w:hAnsi="Times New Roman"/>
          <w:sz w:val="22"/>
          <w:szCs w:val="22"/>
        </w:rPr>
        <w:t xml:space="preserve">no dia </w:t>
      </w:r>
      <w:r w:rsidR="00726FCB" w:rsidRPr="0091490C">
        <w:rPr>
          <w:rFonts w:ascii="Times New Roman" w:hAnsi="Times New Roman"/>
          <w:sz w:val="22"/>
          <w:szCs w:val="22"/>
        </w:rPr>
        <w:t>29</w:t>
      </w:r>
      <w:r w:rsidR="00F1105B" w:rsidRPr="0091490C">
        <w:rPr>
          <w:rFonts w:ascii="Times New Roman" w:hAnsi="Times New Roman"/>
          <w:sz w:val="22"/>
          <w:szCs w:val="22"/>
        </w:rPr>
        <w:t xml:space="preserve"> </w:t>
      </w:r>
      <w:r w:rsidR="00E76C90" w:rsidRPr="0091490C">
        <w:rPr>
          <w:rFonts w:ascii="Times New Roman" w:hAnsi="Times New Roman"/>
          <w:sz w:val="22"/>
          <w:szCs w:val="22"/>
        </w:rPr>
        <w:t xml:space="preserve">de </w:t>
      </w:r>
      <w:r w:rsidR="0097441D" w:rsidRPr="0091490C">
        <w:rPr>
          <w:rFonts w:ascii="Times New Roman" w:hAnsi="Times New Roman"/>
          <w:sz w:val="22"/>
          <w:szCs w:val="22"/>
        </w:rPr>
        <w:t>novembro</w:t>
      </w:r>
      <w:r w:rsidR="005F1195" w:rsidRPr="0091490C">
        <w:rPr>
          <w:rFonts w:ascii="Times New Roman" w:hAnsi="Times New Roman"/>
          <w:sz w:val="22"/>
          <w:szCs w:val="22"/>
        </w:rPr>
        <w:t xml:space="preserve"> </w:t>
      </w:r>
      <w:r w:rsidRPr="0091490C">
        <w:rPr>
          <w:rFonts w:ascii="Times New Roman" w:hAnsi="Times New Roman"/>
          <w:sz w:val="22"/>
          <w:szCs w:val="22"/>
        </w:rPr>
        <w:t>de 201</w:t>
      </w:r>
      <w:r w:rsidR="007A5CDB" w:rsidRPr="0091490C">
        <w:rPr>
          <w:rFonts w:ascii="Times New Roman" w:hAnsi="Times New Roman"/>
          <w:sz w:val="22"/>
          <w:szCs w:val="22"/>
        </w:rPr>
        <w:t>8</w:t>
      </w:r>
      <w:r w:rsidRPr="0091490C">
        <w:rPr>
          <w:rFonts w:ascii="Times New Roman" w:hAnsi="Times New Roman"/>
          <w:sz w:val="22"/>
          <w:szCs w:val="22"/>
        </w:rPr>
        <w:t>, no uso das competências que lhe conferem o artigo 2º, inciso III, alínea ‘b’, da Resolução nº</w:t>
      </w:r>
      <w:r w:rsidRPr="00120938">
        <w:rPr>
          <w:rFonts w:ascii="Times New Roman" w:hAnsi="Times New Roman"/>
          <w:sz w:val="22"/>
          <w:szCs w:val="22"/>
        </w:rPr>
        <w:t xml:space="preserve"> 30 do CAU/BR, que dispõe sobre os atos </w:t>
      </w:r>
      <w:r w:rsidRPr="00131702">
        <w:rPr>
          <w:rFonts w:ascii="Times New Roman" w:hAnsi="Times New Roman"/>
          <w:sz w:val="22"/>
          <w:szCs w:val="22"/>
        </w:rPr>
        <w:t xml:space="preserve">administrativos, e artigo </w:t>
      </w:r>
      <w:r w:rsidR="00AF2743" w:rsidRPr="00131702">
        <w:rPr>
          <w:rFonts w:ascii="Times New Roman" w:hAnsi="Times New Roman"/>
          <w:sz w:val="22"/>
          <w:szCs w:val="22"/>
        </w:rPr>
        <w:t>95</w:t>
      </w:r>
      <w:r w:rsidRPr="00131702">
        <w:rPr>
          <w:rFonts w:ascii="Times New Roman" w:hAnsi="Times New Roman"/>
          <w:sz w:val="22"/>
          <w:szCs w:val="22"/>
        </w:rPr>
        <w:t xml:space="preserve">, incisos </w:t>
      </w:r>
      <w:r w:rsidR="008F3E61" w:rsidRPr="00131702">
        <w:rPr>
          <w:rFonts w:ascii="Times New Roman" w:hAnsi="Times New Roman"/>
          <w:sz w:val="22"/>
          <w:szCs w:val="22"/>
        </w:rPr>
        <w:t>I</w:t>
      </w:r>
      <w:r w:rsidR="008B4C75" w:rsidRPr="00131702">
        <w:rPr>
          <w:rFonts w:ascii="Times New Roman" w:hAnsi="Times New Roman"/>
          <w:sz w:val="22"/>
          <w:szCs w:val="22"/>
        </w:rPr>
        <w:t>,</w:t>
      </w:r>
      <w:r w:rsidR="00E42BBF" w:rsidRPr="00131702">
        <w:rPr>
          <w:rFonts w:ascii="Times New Roman" w:hAnsi="Times New Roman"/>
          <w:sz w:val="22"/>
          <w:szCs w:val="22"/>
        </w:rPr>
        <w:t xml:space="preserve"> VII</w:t>
      </w:r>
      <w:r w:rsidR="008B4C75" w:rsidRPr="00131702">
        <w:rPr>
          <w:rFonts w:ascii="Times New Roman" w:hAnsi="Times New Roman"/>
          <w:sz w:val="22"/>
          <w:szCs w:val="22"/>
        </w:rPr>
        <w:t xml:space="preserve"> e VIII,</w:t>
      </w:r>
      <w:r w:rsidR="008F3E61" w:rsidRPr="00131702">
        <w:rPr>
          <w:rFonts w:ascii="Times New Roman" w:hAnsi="Times New Roman"/>
          <w:sz w:val="22"/>
          <w:szCs w:val="22"/>
        </w:rPr>
        <w:t xml:space="preserve"> </w:t>
      </w:r>
      <w:r w:rsidRPr="00131702">
        <w:rPr>
          <w:rFonts w:ascii="Times New Roman" w:hAnsi="Times New Roman"/>
          <w:sz w:val="22"/>
          <w:szCs w:val="22"/>
        </w:rPr>
        <w:t>do Regimento Interno do CAU/RS, após análise do assunto em epígrafe.</w:t>
      </w:r>
    </w:p>
    <w:p w14:paraId="2BF17BA3" w14:textId="77777777" w:rsidR="008E535B" w:rsidRPr="00131702" w:rsidRDefault="008E535B" w:rsidP="007A258E">
      <w:pPr>
        <w:tabs>
          <w:tab w:val="left" w:pos="1418"/>
        </w:tabs>
        <w:jc w:val="both"/>
        <w:rPr>
          <w:rFonts w:ascii="Times New Roman" w:hAnsi="Times New Roman"/>
          <w:sz w:val="22"/>
          <w:szCs w:val="22"/>
        </w:rPr>
      </w:pPr>
    </w:p>
    <w:p w14:paraId="196ACAFC" w14:textId="6EC9C60C" w:rsidR="00EB2C98" w:rsidRPr="00131702" w:rsidRDefault="00EB2C98" w:rsidP="00EB2C98">
      <w:pPr>
        <w:tabs>
          <w:tab w:val="left" w:pos="1418"/>
        </w:tabs>
        <w:jc w:val="both"/>
        <w:rPr>
          <w:rFonts w:ascii="Times New Roman" w:hAnsi="Times New Roman"/>
          <w:sz w:val="22"/>
          <w:szCs w:val="22"/>
        </w:rPr>
      </w:pPr>
      <w:r w:rsidRPr="00131702">
        <w:rPr>
          <w:rFonts w:ascii="Times New Roman" w:hAnsi="Times New Roman"/>
          <w:sz w:val="22"/>
          <w:szCs w:val="22"/>
        </w:rPr>
        <w:t>Considerando que, em conformidade com o art. 149, da Constituição Federal, compete exclusivamente à União instituir contribuições sociais de interesse das categorias profissionais</w:t>
      </w:r>
      <w:r w:rsidR="00131702" w:rsidRPr="00131702">
        <w:rPr>
          <w:rFonts w:ascii="Times New Roman" w:hAnsi="Times New Roman"/>
          <w:sz w:val="22"/>
          <w:szCs w:val="22"/>
        </w:rPr>
        <w:t>, categoria de tributo na qual se insere a anuidade;</w:t>
      </w:r>
    </w:p>
    <w:p w14:paraId="30F9D32E" w14:textId="77777777" w:rsidR="00EB2C98" w:rsidRPr="00131702" w:rsidRDefault="00EB2C98" w:rsidP="00EB2C98">
      <w:pPr>
        <w:tabs>
          <w:tab w:val="left" w:pos="1418"/>
        </w:tabs>
        <w:jc w:val="both"/>
        <w:rPr>
          <w:rFonts w:ascii="Times New Roman" w:hAnsi="Times New Roman"/>
          <w:sz w:val="22"/>
          <w:szCs w:val="22"/>
        </w:rPr>
      </w:pPr>
    </w:p>
    <w:p w14:paraId="04FFC82D" w14:textId="77777777" w:rsidR="00EB2C98" w:rsidRDefault="00EB2C98" w:rsidP="00EB2C98">
      <w:pPr>
        <w:tabs>
          <w:tab w:val="left" w:pos="1418"/>
        </w:tabs>
        <w:jc w:val="both"/>
        <w:rPr>
          <w:rFonts w:ascii="Times New Roman" w:hAnsi="Times New Roman"/>
          <w:sz w:val="22"/>
          <w:szCs w:val="22"/>
        </w:rPr>
      </w:pPr>
      <w:r w:rsidRPr="00131702">
        <w:rPr>
          <w:rFonts w:ascii="Times New Roman" w:hAnsi="Times New Roman"/>
          <w:sz w:val="22"/>
          <w:szCs w:val="22"/>
        </w:rPr>
        <w:t>Considerando o disposto no art. 1º, da Lei nº 6.839/1980, o qual estabelece que “</w:t>
      </w:r>
      <w:r w:rsidRPr="00131702">
        <w:rPr>
          <w:rFonts w:ascii="Times New Roman" w:hAnsi="Times New Roman"/>
          <w:i/>
          <w:sz w:val="22"/>
          <w:szCs w:val="22"/>
        </w:rPr>
        <w:t>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r w:rsidRPr="00131702">
        <w:rPr>
          <w:rFonts w:ascii="Times New Roman" w:hAnsi="Times New Roman"/>
          <w:sz w:val="22"/>
          <w:szCs w:val="22"/>
        </w:rPr>
        <w:t>”;</w:t>
      </w:r>
    </w:p>
    <w:p w14:paraId="4DBFB6E4" w14:textId="77777777" w:rsidR="00131702" w:rsidRDefault="00131702" w:rsidP="00EB2C98">
      <w:pPr>
        <w:tabs>
          <w:tab w:val="left" w:pos="1418"/>
        </w:tabs>
        <w:jc w:val="both"/>
        <w:rPr>
          <w:rFonts w:ascii="Times New Roman" w:hAnsi="Times New Roman"/>
          <w:sz w:val="22"/>
          <w:szCs w:val="22"/>
        </w:rPr>
      </w:pPr>
    </w:p>
    <w:p w14:paraId="4ED81E78" w14:textId="08C1AC17" w:rsidR="00131702" w:rsidRPr="00131702" w:rsidRDefault="00131702" w:rsidP="00EB2C98">
      <w:pPr>
        <w:tabs>
          <w:tab w:val="left" w:pos="1418"/>
        </w:tabs>
        <w:jc w:val="both"/>
        <w:rPr>
          <w:rFonts w:ascii="Times New Roman" w:hAnsi="Times New Roman"/>
          <w:sz w:val="22"/>
          <w:szCs w:val="22"/>
        </w:rPr>
      </w:pPr>
      <w:r>
        <w:rPr>
          <w:rFonts w:ascii="Times New Roman" w:hAnsi="Times New Roman"/>
          <w:sz w:val="22"/>
          <w:szCs w:val="22"/>
        </w:rPr>
        <w:t xml:space="preserve">Considerando o disposto no art. 97, do Código Tributário Nacional, o qual define que somente a lei pode estabelecer, entre outros: a instituição, a extinção, a majoração e a redução de tributos; a definição do fato gerador da obrigação tributária principal; a definição do sujeito passivo; a fixação de alíquota do tributo e sua base de cálculo; e as hipóteses de </w:t>
      </w:r>
      <w:r w:rsidRPr="00131702">
        <w:rPr>
          <w:rFonts w:ascii="Times New Roman" w:hAnsi="Times New Roman"/>
          <w:sz w:val="22"/>
          <w:szCs w:val="22"/>
        </w:rPr>
        <w:t>exclusão, suspensão e extinção de créditos tributários, ou de dispensa ou redução de penalidades</w:t>
      </w:r>
      <w:r>
        <w:rPr>
          <w:rFonts w:ascii="Times New Roman" w:hAnsi="Times New Roman"/>
          <w:sz w:val="22"/>
          <w:szCs w:val="22"/>
        </w:rPr>
        <w:t>;</w:t>
      </w:r>
    </w:p>
    <w:p w14:paraId="63AF2031" w14:textId="77777777" w:rsidR="00EB2C98" w:rsidRPr="00131702" w:rsidRDefault="00EB2C98" w:rsidP="00EB2C98">
      <w:pPr>
        <w:tabs>
          <w:tab w:val="left" w:pos="1418"/>
        </w:tabs>
        <w:jc w:val="both"/>
        <w:rPr>
          <w:rFonts w:ascii="Times New Roman" w:hAnsi="Times New Roman"/>
          <w:sz w:val="22"/>
          <w:szCs w:val="22"/>
        </w:rPr>
      </w:pPr>
    </w:p>
    <w:p w14:paraId="269FDB76" w14:textId="048F2C81" w:rsidR="00726FCB" w:rsidRDefault="00726FCB" w:rsidP="007A258E">
      <w:pPr>
        <w:tabs>
          <w:tab w:val="left" w:pos="1418"/>
        </w:tabs>
        <w:jc w:val="both"/>
        <w:rPr>
          <w:rFonts w:ascii="Times New Roman" w:hAnsi="Times New Roman"/>
          <w:sz w:val="22"/>
          <w:szCs w:val="22"/>
        </w:rPr>
      </w:pPr>
      <w:r w:rsidRPr="00131702">
        <w:rPr>
          <w:rFonts w:ascii="Times New Roman" w:hAnsi="Times New Roman"/>
          <w:sz w:val="22"/>
          <w:szCs w:val="22"/>
        </w:rPr>
        <w:t>Considerando que o art. 7º, da Lei nº 12.378/2010, estabelece que “</w:t>
      </w:r>
      <w:r w:rsidRPr="00131702">
        <w:rPr>
          <w:rFonts w:ascii="Times New Roman" w:hAnsi="Times New Roman"/>
          <w:i/>
          <w:sz w:val="22"/>
          <w:szCs w:val="22"/>
        </w:rPr>
        <w:t xml:space="preserve">exerce ilegalmente </w:t>
      </w:r>
      <w:r w:rsidRPr="00726FCB">
        <w:rPr>
          <w:rFonts w:ascii="Times New Roman" w:hAnsi="Times New Roman"/>
          <w:i/>
          <w:sz w:val="22"/>
          <w:szCs w:val="22"/>
        </w:rPr>
        <w:t>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r w:rsidRPr="00726FCB">
        <w:rPr>
          <w:rFonts w:ascii="Times New Roman" w:hAnsi="Times New Roman"/>
          <w:sz w:val="22"/>
          <w:szCs w:val="22"/>
        </w:rPr>
        <w:t>”;</w:t>
      </w:r>
    </w:p>
    <w:p w14:paraId="03AAF50F" w14:textId="77777777" w:rsidR="00726FCB" w:rsidRDefault="00726FCB" w:rsidP="007A258E">
      <w:pPr>
        <w:tabs>
          <w:tab w:val="left" w:pos="1418"/>
        </w:tabs>
        <w:jc w:val="both"/>
        <w:rPr>
          <w:rFonts w:ascii="Times New Roman" w:hAnsi="Times New Roman"/>
          <w:sz w:val="22"/>
          <w:szCs w:val="22"/>
        </w:rPr>
      </w:pPr>
    </w:p>
    <w:p w14:paraId="5087E9A9" w14:textId="6CC8B2A8" w:rsidR="00726FCB" w:rsidRPr="00726FCB" w:rsidRDefault="00726FCB" w:rsidP="007A258E">
      <w:pPr>
        <w:tabs>
          <w:tab w:val="left" w:pos="1418"/>
        </w:tabs>
        <w:jc w:val="both"/>
        <w:rPr>
          <w:rFonts w:ascii="Times New Roman" w:hAnsi="Times New Roman"/>
          <w:sz w:val="22"/>
          <w:szCs w:val="22"/>
        </w:rPr>
      </w:pPr>
      <w:r>
        <w:rPr>
          <w:rFonts w:ascii="Times New Roman" w:hAnsi="Times New Roman"/>
          <w:sz w:val="22"/>
          <w:szCs w:val="22"/>
        </w:rPr>
        <w:t xml:space="preserve">Considerando que </w:t>
      </w:r>
      <w:r w:rsidR="00723416">
        <w:rPr>
          <w:rFonts w:ascii="Times New Roman" w:hAnsi="Times New Roman"/>
          <w:sz w:val="22"/>
          <w:szCs w:val="22"/>
        </w:rPr>
        <w:t xml:space="preserve">o </w:t>
      </w:r>
      <w:r>
        <w:rPr>
          <w:rFonts w:ascii="Times New Roman" w:hAnsi="Times New Roman"/>
          <w:sz w:val="22"/>
          <w:szCs w:val="22"/>
        </w:rPr>
        <w:t>art. 10, da Lei nº 12.378/2010, define que “</w:t>
      </w:r>
      <w:r w:rsidRPr="00726FCB">
        <w:rPr>
          <w:rFonts w:ascii="Times New Roman" w:hAnsi="Times New Roman"/>
          <w:i/>
          <w:sz w:val="22"/>
          <w:szCs w:val="22"/>
        </w:rPr>
        <w:t>os arquitetos e urbanistas, juntamente com outros profissionais, poder-se-ão reunir em sociedade de prestação de serviços de arquitetura e urbanismo, nos termos das normas de direito privado, desta Lei e do Regimento Geral do CAU/BR</w:t>
      </w:r>
      <w:r>
        <w:rPr>
          <w:rFonts w:ascii="Times New Roman" w:hAnsi="Times New Roman"/>
          <w:sz w:val="22"/>
          <w:szCs w:val="22"/>
        </w:rPr>
        <w:t>”, as quais, s</w:t>
      </w:r>
      <w:r w:rsidRPr="00726FCB">
        <w:rPr>
          <w:rFonts w:ascii="Times New Roman" w:hAnsi="Times New Roman"/>
          <w:sz w:val="22"/>
          <w:szCs w:val="22"/>
        </w:rPr>
        <w:t xml:space="preserve">em prejuízo do registro e aprovação pelo órgão competente, </w:t>
      </w:r>
      <w:r>
        <w:rPr>
          <w:rFonts w:ascii="Times New Roman" w:hAnsi="Times New Roman"/>
          <w:sz w:val="22"/>
          <w:szCs w:val="22"/>
        </w:rPr>
        <w:t>devem se “</w:t>
      </w:r>
      <w:r w:rsidRPr="00726FCB">
        <w:rPr>
          <w:rFonts w:ascii="Times New Roman" w:hAnsi="Times New Roman"/>
          <w:i/>
          <w:sz w:val="22"/>
          <w:szCs w:val="22"/>
        </w:rPr>
        <w:t>cadastrar no CAU da sua sede, o qual enviará as informações ao CAU/BR para fins de composição de cadastro unificado nacionalmente</w:t>
      </w:r>
      <w:r w:rsidRPr="00726FCB">
        <w:rPr>
          <w:rFonts w:ascii="Times New Roman" w:hAnsi="Times New Roman"/>
          <w:sz w:val="22"/>
          <w:szCs w:val="22"/>
        </w:rPr>
        <w:t>”;</w:t>
      </w:r>
    </w:p>
    <w:p w14:paraId="5DB2F2FD" w14:textId="77777777" w:rsidR="00726FCB" w:rsidRPr="00726FCB" w:rsidRDefault="00726FCB" w:rsidP="007A258E">
      <w:pPr>
        <w:tabs>
          <w:tab w:val="left" w:pos="1418"/>
        </w:tabs>
        <w:jc w:val="both"/>
        <w:rPr>
          <w:rFonts w:ascii="Times New Roman" w:hAnsi="Times New Roman"/>
          <w:sz w:val="22"/>
          <w:szCs w:val="22"/>
        </w:rPr>
      </w:pPr>
    </w:p>
    <w:p w14:paraId="1100E79E" w14:textId="77777777" w:rsidR="00CD56EE" w:rsidRPr="00726FCB" w:rsidRDefault="00CD56EE" w:rsidP="00F75B85">
      <w:pPr>
        <w:jc w:val="both"/>
        <w:rPr>
          <w:rFonts w:ascii="Times New Roman" w:hAnsi="Times New Roman"/>
          <w:sz w:val="22"/>
          <w:szCs w:val="22"/>
        </w:rPr>
      </w:pPr>
      <w:r w:rsidRPr="00726FCB">
        <w:rPr>
          <w:rFonts w:ascii="Times New Roman" w:hAnsi="Times New Roman"/>
          <w:sz w:val="22"/>
          <w:szCs w:val="22"/>
        </w:rPr>
        <w:t>Considerando que “</w:t>
      </w:r>
      <w:r w:rsidRPr="00726FCB">
        <w:rPr>
          <w:rFonts w:ascii="Times New Roman" w:hAnsi="Times New Roman"/>
          <w:i/>
          <w:sz w:val="22"/>
          <w:szCs w:val="22"/>
        </w:rPr>
        <w:t xml:space="preserve">o CAU/BR e os </w:t>
      </w:r>
      <w:proofErr w:type="spellStart"/>
      <w:r w:rsidRPr="00726FCB">
        <w:rPr>
          <w:rFonts w:ascii="Times New Roman" w:hAnsi="Times New Roman"/>
          <w:i/>
          <w:sz w:val="22"/>
          <w:szCs w:val="22"/>
        </w:rPr>
        <w:t>CAUs</w:t>
      </w:r>
      <w:proofErr w:type="spellEnd"/>
      <w:r w:rsidRPr="00726FCB">
        <w:rPr>
          <w:rFonts w:ascii="Times New Roman" w:hAnsi="Times New Roman"/>
          <w:i/>
          <w:sz w:val="22"/>
          <w:szCs w:val="22"/>
        </w:rPr>
        <w:t xml:space="preserve">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r w:rsidRPr="00726FCB">
        <w:rPr>
          <w:rFonts w:ascii="Times New Roman" w:hAnsi="Times New Roman"/>
          <w:sz w:val="22"/>
          <w:szCs w:val="22"/>
        </w:rPr>
        <w:t>”, conforme dispõe o art. 24, § 1º, da Lei nº 12.378/2010;</w:t>
      </w:r>
    </w:p>
    <w:p w14:paraId="67E32B4C" w14:textId="77777777" w:rsidR="00CD56EE" w:rsidRPr="00726FCB" w:rsidRDefault="00CD56EE" w:rsidP="007A258E">
      <w:pPr>
        <w:tabs>
          <w:tab w:val="left" w:pos="1418"/>
        </w:tabs>
        <w:jc w:val="both"/>
        <w:rPr>
          <w:rFonts w:ascii="Times New Roman" w:hAnsi="Times New Roman"/>
          <w:sz w:val="22"/>
          <w:szCs w:val="22"/>
        </w:rPr>
      </w:pPr>
    </w:p>
    <w:p w14:paraId="54089F1F" w14:textId="3DA7C2B6" w:rsidR="00726FCB" w:rsidRPr="009745F2" w:rsidRDefault="00726FCB" w:rsidP="007A258E">
      <w:pPr>
        <w:tabs>
          <w:tab w:val="left" w:pos="1418"/>
        </w:tabs>
        <w:jc w:val="both"/>
        <w:rPr>
          <w:rFonts w:ascii="Times New Roman" w:hAnsi="Times New Roman"/>
          <w:sz w:val="22"/>
          <w:szCs w:val="22"/>
        </w:rPr>
      </w:pPr>
      <w:r>
        <w:rPr>
          <w:rFonts w:ascii="Times New Roman" w:hAnsi="Times New Roman"/>
          <w:sz w:val="22"/>
          <w:szCs w:val="22"/>
        </w:rPr>
        <w:t>Considerando que, segundo o art. 34, inciso V, da Lei nº 12.378/2010, compete aos CAUS “</w:t>
      </w:r>
      <w:r w:rsidRPr="00726FCB">
        <w:rPr>
          <w:rFonts w:ascii="Times New Roman" w:hAnsi="Times New Roman"/>
          <w:i/>
          <w:sz w:val="22"/>
          <w:szCs w:val="22"/>
        </w:rPr>
        <w:t xml:space="preserve">realizar as inscrições e expedir as </w:t>
      </w:r>
      <w:r w:rsidRPr="009745F2">
        <w:rPr>
          <w:rFonts w:ascii="Times New Roman" w:hAnsi="Times New Roman"/>
          <w:i/>
          <w:sz w:val="22"/>
          <w:szCs w:val="22"/>
        </w:rPr>
        <w:t>carteiras de identificação de profissionais e pessoas jurídicas habilitadas, na forma desta Lei, para exercerem atividades de arquitetura e urbanismo, mantendo o cadastro atualizado</w:t>
      </w:r>
      <w:r w:rsidRPr="009745F2">
        <w:rPr>
          <w:rFonts w:ascii="Times New Roman" w:hAnsi="Times New Roman"/>
          <w:sz w:val="22"/>
          <w:szCs w:val="22"/>
        </w:rPr>
        <w:t>”;</w:t>
      </w:r>
    </w:p>
    <w:p w14:paraId="69CD3E6D" w14:textId="77777777" w:rsidR="00726FCB" w:rsidRPr="009745F2" w:rsidRDefault="00726FCB" w:rsidP="007A258E">
      <w:pPr>
        <w:tabs>
          <w:tab w:val="left" w:pos="1418"/>
        </w:tabs>
        <w:jc w:val="both"/>
        <w:rPr>
          <w:rFonts w:ascii="Times New Roman" w:hAnsi="Times New Roman"/>
          <w:sz w:val="22"/>
          <w:szCs w:val="22"/>
        </w:rPr>
      </w:pPr>
    </w:p>
    <w:p w14:paraId="5CBE4C10" w14:textId="1BCB4830" w:rsidR="00723416" w:rsidRPr="009745F2" w:rsidRDefault="00723416" w:rsidP="00723416">
      <w:pPr>
        <w:tabs>
          <w:tab w:val="left" w:pos="1418"/>
        </w:tabs>
        <w:jc w:val="both"/>
        <w:rPr>
          <w:rFonts w:ascii="Times New Roman" w:hAnsi="Times New Roman"/>
          <w:sz w:val="22"/>
          <w:szCs w:val="22"/>
        </w:rPr>
      </w:pPr>
      <w:r w:rsidRPr="009745F2">
        <w:rPr>
          <w:rFonts w:ascii="Times New Roman" w:hAnsi="Times New Roman"/>
          <w:sz w:val="22"/>
          <w:szCs w:val="22"/>
        </w:rPr>
        <w:t>Considerando que a hipótese de incidência, o fato gerador, a alíquota, a base de cálculo e o sujeito passivo da contribuição social de interesse das categorias profissionais (anuidade) foram instituídos por meio dos artigos 42, 43 e 44, da Lei nº 12.378/2010, que seguem:</w:t>
      </w:r>
    </w:p>
    <w:p w14:paraId="1B38EA10" w14:textId="60D04364" w:rsidR="00723416" w:rsidRPr="009745F2" w:rsidRDefault="00723416" w:rsidP="00723416">
      <w:pPr>
        <w:tabs>
          <w:tab w:val="left" w:pos="1418"/>
        </w:tabs>
        <w:ind w:left="1134"/>
        <w:jc w:val="both"/>
        <w:rPr>
          <w:rFonts w:ascii="Times New Roman" w:hAnsi="Times New Roman"/>
          <w:i/>
          <w:sz w:val="20"/>
          <w:szCs w:val="22"/>
        </w:rPr>
      </w:pPr>
      <w:r w:rsidRPr="009745F2">
        <w:rPr>
          <w:rFonts w:ascii="Times New Roman" w:hAnsi="Times New Roman"/>
          <w:i/>
          <w:sz w:val="20"/>
          <w:szCs w:val="22"/>
        </w:rPr>
        <w:lastRenderedPageBreak/>
        <w:t>Art. 42. Os profissionais e as pessoas jurídicas inscritas no CAU pagarão anuidade no valor de R$ 350,00 (trezentos e cinquenta reais).</w:t>
      </w:r>
    </w:p>
    <w:p w14:paraId="283D11BD" w14:textId="17BDC57E" w:rsidR="00723416" w:rsidRPr="009745F2" w:rsidRDefault="00723416" w:rsidP="00723416">
      <w:pPr>
        <w:tabs>
          <w:tab w:val="left" w:pos="1418"/>
        </w:tabs>
        <w:ind w:left="1134"/>
        <w:jc w:val="both"/>
        <w:rPr>
          <w:rFonts w:ascii="Times New Roman" w:hAnsi="Times New Roman"/>
          <w:i/>
          <w:sz w:val="20"/>
          <w:szCs w:val="22"/>
        </w:rPr>
      </w:pPr>
      <w:r w:rsidRPr="009745F2">
        <w:rPr>
          <w:rFonts w:ascii="Times New Roman" w:hAnsi="Times New Roman"/>
          <w:i/>
          <w:sz w:val="20"/>
          <w:szCs w:val="22"/>
        </w:rPr>
        <w:t>§ 1º Os valores das anuidades serão reajustados de acordo com a variação integral do Índice Nacional de Preços ao Consumidor - INPC, calculado pela Fundação Instituto Brasileiro de Geografia e Estatística - IBGE, nos termos de ato do CAU/BR.</w:t>
      </w:r>
    </w:p>
    <w:p w14:paraId="6D428D0A" w14:textId="7633A499" w:rsidR="00723416" w:rsidRPr="009745F2" w:rsidRDefault="00723416" w:rsidP="00723416">
      <w:pPr>
        <w:tabs>
          <w:tab w:val="left" w:pos="1418"/>
        </w:tabs>
        <w:ind w:left="1134"/>
        <w:jc w:val="both"/>
        <w:rPr>
          <w:rFonts w:ascii="Times New Roman" w:hAnsi="Times New Roman"/>
          <w:i/>
          <w:sz w:val="20"/>
          <w:szCs w:val="22"/>
        </w:rPr>
      </w:pPr>
      <w:r w:rsidRPr="009745F2">
        <w:rPr>
          <w:rFonts w:ascii="Times New Roman" w:hAnsi="Times New Roman"/>
          <w:i/>
          <w:sz w:val="20"/>
          <w:szCs w:val="22"/>
        </w:rPr>
        <w:t>§ 2º A data de vencimento, as regras de parcelamento e o desconto para pagamento à vista serão estabelecidos pelo CAU/BR.</w:t>
      </w:r>
    </w:p>
    <w:p w14:paraId="3129A395" w14:textId="0CBACA2E" w:rsidR="00723416" w:rsidRPr="009745F2" w:rsidRDefault="00723416" w:rsidP="00723416">
      <w:pPr>
        <w:tabs>
          <w:tab w:val="left" w:pos="1418"/>
        </w:tabs>
        <w:ind w:left="1134"/>
        <w:jc w:val="both"/>
        <w:rPr>
          <w:rFonts w:ascii="Times New Roman" w:hAnsi="Times New Roman"/>
          <w:i/>
          <w:sz w:val="20"/>
          <w:szCs w:val="22"/>
        </w:rPr>
      </w:pPr>
      <w:r w:rsidRPr="009745F2">
        <w:rPr>
          <w:rFonts w:ascii="Times New Roman" w:hAnsi="Times New Roman"/>
          <w:i/>
          <w:sz w:val="20"/>
          <w:szCs w:val="22"/>
        </w:rPr>
        <w:t>§ 3º Os profissionais formados há menos de 2 (dois) anos e acima de 30 (trinta) anos de formados, pagarão metade do valor da anuidade.</w:t>
      </w:r>
    </w:p>
    <w:p w14:paraId="20A452D1" w14:textId="12FCA8C6" w:rsidR="00723416" w:rsidRPr="009745F2" w:rsidRDefault="00723416" w:rsidP="00723416">
      <w:pPr>
        <w:tabs>
          <w:tab w:val="left" w:pos="1418"/>
        </w:tabs>
        <w:ind w:left="1134"/>
        <w:jc w:val="both"/>
        <w:rPr>
          <w:rFonts w:ascii="Times New Roman" w:hAnsi="Times New Roman"/>
          <w:i/>
          <w:sz w:val="20"/>
          <w:szCs w:val="22"/>
        </w:rPr>
      </w:pPr>
      <w:r w:rsidRPr="009745F2">
        <w:rPr>
          <w:rFonts w:ascii="Times New Roman" w:hAnsi="Times New Roman"/>
          <w:i/>
          <w:sz w:val="20"/>
          <w:szCs w:val="22"/>
        </w:rPr>
        <w:t>§ 4º A anuidade deixará de ser devida após 40 (quarenta) anos de contribuição da pessoa natural.</w:t>
      </w:r>
    </w:p>
    <w:p w14:paraId="22F90D7F" w14:textId="17184F63" w:rsidR="00723416" w:rsidRPr="009745F2" w:rsidRDefault="00723416" w:rsidP="00723416">
      <w:pPr>
        <w:tabs>
          <w:tab w:val="left" w:pos="1418"/>
        </w:tabs>
        <w:ind w:left="1134"/>
        <w:jc w:val="both"/>
        <w:rPr>
          <w:rFonts w:ascii="Times New Roman" w:hAnsi="Times New Roman"/>
          <w:i/>
          <w:sz w:val="20"/>
          <w:szCs w:val="22"/>
        </w:rPr>
      </w:pPr>
      <w:r w:rsidRPr="009745F2">
        <w:rPr>
          <w:rFonts w:ascii="Times New Roman" w:hAnsi="Times New Roman"/>
          <w:i/>
          <w:sz w:val="20"/>
          <w:szCs w:val="22"/>
        </w:rPr>
        <w:t>Art. 43. A inscrição do profissional ou da pessoa jurídica no CAU não está sujeita ao pagamento de nenhum valor além da anuidade, proporcionalmente ao número de meses restantes no ano.</w:t>
      </w:r>
    </w:p>
    <w:p w14:paraId="2B3B44CD" w14:textId="5FED0C6E" w:rsidR="00723416" w:rsidRPr="009745F2" w:rsidRDefault="00723416" w:rsidP="00723416">
      <w:pPr>
        <w:tabs>
          <w:tab w:val="left" w:pos="1418"/>
        </w:tabs>
        <w:ind w:left="1134"/>
        <w:jc w:val="both"/>
        <w:rPr>
          <w:rFonts w:ascii="Times New Roman" w:hAnsi="Times New Roman"/>
          <w:i/>
          <w:sz w:val="20"/>
          <w:szCs w:val="22"/>
        </w:rPr>
      </w:pPr>
      <w:r w:rsidRPr="009745F2">
        <w:rPr>
          <w:rFonts w:ascii="Times New Roman" w:hAnsi="Times New Roman"/>
          <w:i/>
          <w:sz w:val="20"/>
          <w:szCs w:val="22"/>
        </w:rPr>
        <w:t>Art. 44. O não pagamento de anuidade no prazo, sem prejuízo da responsabilização pessoal pela violação ética, sujeita o infrator ao pagamento de multa de 20% (vinte por cento) sobre o valor devido e à incidência de correção com base na variação da Taxa Referencial do Sistema Especial de Liquidação e de Custódia - SELIC até o efetivo pagamento.</w:t>
      </w:r>
    </w:p>
    <w:p w14:paraId="3655E9ED" w14:textId="77777777" w:rsidR="00723416" w:rsidRDefault="00723416" w:rsidP="007A258E">
      <w:pPr>
        <w:tabs>
          <w:tab w:val="left" w:pos="1418"/>
        </w:tabs>
        <w:jc w:val="both"/>
        <w:rPr>
          <w:rFonts w:ascii="Times New Roman" w:hAnsi="Times New Roman"/>
          <w:sz w:val="22"/>
          <w:szCs w:val="22"/>
        </w:rPr>
      </w:pPr>
    </w:p>
    <w:p w14:paraId="4DBA9A97" w14:textId="09583A49" w:rsidR="00726FCB" w:rsidRDefault="009745F2" w:rsidP="009745F2">
      <w:pPr>
        <w:tabs>
          <w:tab w:val="left" w:pos="1418"/>
        </w:tabs>
        <w:jc w:val="both"/>
        <w:rPr>
          <w:rFonts w:ascii="Times New Roman" w:hAnsi="Times New Roman"/>
          <w:sz w:val="22"/>
          <w:szCs w:val="22"/>
        </w:rPr>
      </w:pPr>
      <w:r>
        <w:rPr>
          <w:rFonts w:ascii="Times New Roman" w:hAnsi="Times New Roman"/>
          <w:sz w:val="22"/>
          <w:szCs w:val="22"/>
        </w:rPr>
        <w:t xml:space="preserve">Considerando que o CAU/BR, por meio da Resolução nº 028/2012, ao regulamentar os procedimentos relativos ao registro de pessoa jurídica de arquitetura e urbanismo, definiu, em seu art. 1º, que ficam obrigadas ao registro: </w:t>
      </w:r>
      <w:r w:rsidRPr="009745F2">
        <w:rPr>
          <w:rFonts w:ascii="Times New Roman" w:hAnsi="Times New Roman"/>
          <w:sz w:val="22"/>
          <w:szCs w:val="22"/>
        </w:rPr>
        <w:t>as pessoas jurídicas que tenham por objetivo social o exercício de atividades profissionais privativas</w:t>
      </w:r>
      <w:r>
        <w:rPr>
          <w:rFonts w:ascii="Times New Roman" w:hAnsi="Times New Roman"/>
          <w:sz w:val="22"/>
          <w:szCs w:val="22"/>
        </w:rPr>
        <w:t xml:space="preserve"> </w:t>
      </w:r>
      <w:r w:rsidRPr="009745F2">
        <w:rPr>
          <w:rFonts w:ascii="Times New Roman" w:hAnsi="Times New Roman"/>
          <w:sz w:val="22"/>
          <w:szCs w:val="22"/>
        </w:rPr>
        <w:t>de arquitetos e urbanistas;</w:t>
      </w:r>
      <w:r>
        <w:rPr>
          <w:rFonts w:ascii="Times New Roman" w:hAnsi="Times New Roman"/>
          <w:sz w:val="22"/>
          <w:szCs w:val="22"/>
        </w:rPr>
        <w:t xml:space="preserve"> </w:t>
      </w:r>
      <w:r w:rsidRPr="009745F2">
        <w:rPr>
          <w:rFonts w:ascii="Times New Roman" w:hAnsi="Times New Roman"/>
          <w:sz w:val="22"/>
          <w:szCs w:val="22"/>
        </w:rPr>
        <w:t>as pessoas jurídicas que tenham em seus objetivos sociais o exercício de atividades privativas de</w:t>
      </w:r>
      <w:r>
        <w:rPr>
          <w:rFonts w:ascii="Times New Roman" w:hAnsi="Times New Roman"/>
          <w:sz w:val="22"/>
          <w:szCs w:val="22"/>
        </w:rPr>
        <w:t xml:space="preserve"> a</w:t>
      </w:r>
      <w:r w:rsidRPr="009745F2">
        <w:rPr>
          <w:rFonts w:ascii="Times New Roman" w:hAnsi="Times New Roman"/>
          <w:sz w:val="22"/>
          <w:szCs w:val="22"/>
        </w:rPr>
        <w:t>rquitetos e urbanistas cumulativamente com atividades em outras áreas profissionais não vinculadas ao</w:t>
      </w:r>
      <w:r>
        <w:rPr>
          <w:rFonts w:ascii="Times New Roman" w:hAnsi="Times New Roman"/>
          <w:sz w:val="22"/>
          <w:szCs w:val="22"/>
        </w:rPr>
        <w:t xml:space="preserve"> </w:t>
      </w:r>
      <w:r w:rsidRPr="009745F2">
        <w:rPr>
          <w:rFonts w:ascii="Times New Roman" w:hAnsi="Times New Roman"/>
          <w:sz w:val="22"/>
          <w:szCs w:val="22"/>
        </w:rPr>
        <w:t>Conselho de Arquitetura e Urbanismo;</w:t>
      </w:r>
      <w:r>
        <w:rPr>
          <w:rFonts w:ascii="Times New Roman" w:hAnsi="Times New Roman"/>
          <w:sz w:val="22"/>
          <w:szCs w:val="22"/>
        </w:rPr>
        <w:t xml:space="preserve"> e</w:t>
      </w:r>
      <w:r w:rsidRPr="009745F2">
        <w:rPr>
          <w:rFonts w:ascii="Times New Roman" w:hAnsi="Times New Roman"/>
          <w:sz w:val="22"/>
          <w:szCs w:val="22"/>
        </w:rPr>
        <w:t xml:space="preserve"> as pessoas jurídicas que tenham em seus objetivos sociais o exercício de atividades de arquitetos e</w:t>
      </w:r>
      <w:r>
        <w:rPr>
          <w:rFonts w:ascii="Times New Roman" w:hAnsi="Times New Roman"/>
          <w:sz w:val="22"/>
          <w:szCs w:val="22"/>
        </w:rPr>
        <w:t xml:space="preserve"> </w:t>
      </w:r>
      <w:r w:rsidRPr="009745F2">
        <w:rPr>
          <w:rFonts w:ascii="Times New Roman" w:hAnsi="Times New Roman"/>
          <w:sz w:val="22"/>
          <w:szCs w:val="22"/>
        </w:rPr>
        <w:t>urbanistas compartilhadas com outras áreas profissionais, cujo responsável técnico seja arquiteto e</w:t>
      </w:r>
      <w:r>
        <w:rPr>
          <w:rFonts w:ascii="Times New Roman" w:hAnsi="Times New Roman"/>
          <w:sz w:val="22"/>
          <w:szCs w:val="22"/>
        </w:rPr>
        <w:t xml:space="preserve"> urbanista;</w:t>
      </w:r>
    </w:p>
    <w:p w14:paraId="18C0B5D9" w14:textId="77777777" w:rsidR="009745F2" w:rsidRDefault="009745F2" w:rsidP="009745F2">
      <w:pPr>
        <w:tabs>
          <w:tab w:val="left" w:pos="1418"/>
        </w:tabs>
        <w:jc w:val="both"/>
        <w:rPr>
          <w:rFonts w:ascii="Times New Roman" w:hAnsi="Times New Roman"/>
          <w:sz w:val="22"/>
          <w:szCs w:val="22"/>
        </w:rPr>
      </w:pPr>
    </w:p>
    <w:p w14:paraId="340D0991" w14:textId="0E80DA9A" w:rsidR="009745F2" w:rsidRDefault="009745F2" w:rsidP="009745F2">
      <w:pPr>
        <w:tabs>
          <w:tab w:val="left" w:pos="1418"/>
        </w:tabs>
        <w:jc w:val="both"/>
        <w:rPr>
          <w:rFonts w:ascii="Times New Roman" w:hAnsi="Times New Roman"/>
          <w:sz w:val="22"/>
          <w:szCs w:val="22"/>
        </w:rPr>
      </w:pPr>
      <w:r>
        <w:rPr>
          <w:rFonts w:ascii="Times New Roman" w:hAnsi="Times New Roman"/>
          <w:sz w:val="22"/>
          <w:szCs w:val="22"/>
        </w:rPr>
        <w:t>Considerando que o art. 1º, § 1º, da Resolução CAU/BR nº 028/2012, estabeleceu que “</w:t>
      </w:r>
      <w:r>
        <w:rPr>
          <w:rFonts w:ascii="Times New Roman" w:hAnsi="Times New Roman"/>
          <w:i/>
          <w:sz w:val="22"/>
          <w:szCs w:val="22"/>
        </w:rPr>
        <w:t>o</w:t>
      </w:r>
      <w:r w:rsidRPr="009745F2">
        <w:rPr>
          <w:rFonts w:ascii="Times New Roman" w:hAnsi="Times New Roman"/>
          <w:i/>
          <w:sz w:val="22"/>
          <w:szCs w:val="22"/>
        </w:rPr>
        <w:t xml:space="preserve"> requerimento de registro de pessoa jurídica no CAU/UF somente será deferido se os objetivos sociais da mesma forem compatíveis com as atividades, atribuições e campos de atuação profissional da Arquitetura e Urbanismo</w:t>
      </w:r>
      <w:r>
        <w:rPr>
          <w:rFonts w:ascii="Times New Roman" w:hAnsi="Times New Roman"/>
          <w:sz w:val="22"/>
          <w:szCs w:val="22"/>
        </w:rPr>
        <w:t>”;</w:t>
      </w:r>
    </w:p>
    <w:p w14:paraId="7334E14E" w14:textId="77777777" w:rsidR="009745F2" w:rsidRDefault="009745F2" w:rsidP="009745F2">
      <w:pPr>
        <w:tabs>
          <w:tab w:val="left" w:pos="1418"/>
        </w:tabs>
        <w:jc w:val="both"/>
        <w:rPr>
          <w:rFonts w:ascii="Times New Roman" w:hAnsi="Times New Roman"/>
          <w:sz w:val="22"/>
          <w:szCs w:val="22"/>
        </w:rPr>
      </w:pPr>
    </w:p>
    <w:p w14:paraId="00BFFA17" w14:textId="6729AA80" w:rsidR="009745F2" w:rsidRDefault="009745F2" w:rsidP="009745F2">
      <w:pPr>
        <w:tabs>
          <w:tab w:val="left" w:pos="1418"/>
        </w:tabs>
        <w:jc w:val="both"/>
        <w:rPr>
          <w:rFonts w:ascii="Times New Roman" w:hAnsi="Times New Roman"/>
          <w:sz w:val="22"/>
          <w:szCs w:val="22"/>
        </w:rPr>
      </w:pPr>
      <w:r>
        <w:rPr>
          <w:rFonts w:ascii="Times New Roman" w:hAnsi="Times New Roman"/>
          <w:sz w:val="22"/>
          <w:szCs w:val="22"/>
        </w:rPr>
        <w:t>Considerando que o art. 5º, da Resolução CAU/BR nº 028/2012, definiu que o</w:t>
      </w:r>
      <w:r w:rsidRPr="009745F2">
        <w:rPr>
          <w:rFonts w:ascii="Times New Roman" w:hAnsi="Times New Roman"/>
          <w:sz w:val="22"/>
          <w:szCs w:val="22"/>
        </w:rPr>
        <w:t xml:space="preserve"> registro inicial de pessoa jurídica deverá ser requerido por meio do preenchimento de</w:t>
      </w:r>
      <w:r>
        <w:rPr>
          <w:rFonts w:ascii="Times New Roman" w:hAnsi="Times New Roman"/>
          <w:sz w:val="22"/>
          <w:szCs w:val="22"/>
        </w:rPr>
        <w:t xml:space="preserve"> </w:t>
      </w:r>
      <w:r w:rsidRPr="009745F2">
        <w:rPr>
          <w:rFonts w:ascii="Times New Roman" w:hAnsi="Times New Roman"/>
          <w:sz w:val="22"/>
          <w:szCs w:val="22"/>
        </w:rPr>
        <w:t>formulário próprio, disponível no SICCAU, ao qual deve ser anexada a seguinte documentação</w:t>
      </w:r>
      <w:r>
        <w:rPr>
          <w:rFonts w:ascii="Times New Roman" w:hAnsi="Times New Roman"/>
          <w:sz w:val="22"/>
          <w:szCs w:val="22"/>
        </w:rPr>
        <w:t xml:space="preserve">: </w:t>
      </w:r>
      <w:r w:rsidRPr="009745F2">
        <w:rPr>
          <w:rFonts w:ascii="Times New Roman" w:hAnsi="Times New Roman"/>
          <w:sz w:val="22"/>
          <w:szCs w:val="22"/>
        </w:rPr>
        <w:t>ato constitutivo, devidamente registrado no órgão competente, incluindo as alterações, ou se for o</w:t>
      </w:r>
      <w:r>
        <w:rPr>
          <w:rFonts w:ascii="Times New Roman" w:hAnsi="Times New Roman"/>
          <w:sz w:val="22"/>
          <w:szCs w:val="22"/>
        </w:rPr>
        <w:t xml:space="preserve"> </w:t>
      </w:r>
      <w:r w:rsidRPr="009745F2">
        <w:rPr>
          <w:rFonts w:ascii="Times New Roman" w:hAnsi="Times New Roman"/>
          <w:sz w:val="22"/>
          <w:szCs w:val="22"/>
        </w:rPr>
        <w:t xml:space="preserve">caso, a consolidação e as alterações posteriores; comprovante de inscrição no Cadastro Nacional de Pessoas Jurídicas (CNPJ); </w:t>
      </w:r>
      <w:r>
        <w:rPr>
          <w:rFonts w:ascii="Times New Roman" w:hAnsi="Times New Roman"/>
          <w:sz w:val="22"/>
          <w:szCs w:val="22"/>
        </w:rPr>
        <w:t xml:space="preserve">e </w:t>
      </w:r>
      <w:r w:rsidRPr="009745F2">
        <w:rPr>
          <w:rFonts w:ascii="Times New Roman" w:hAnsi="Times New Roman"/>
          <w:sz w:val="22"/>
          <w:szCs w:val="22"/>
        </w:rPr>
        <w:t>Registro de Responsabilidade Técnica (RRT) de Cargo ou Função do arquiteto e urbanista indicado</w:t>
      </w:r>
      <w:r>
        <w:rPr>
          <w:rFonts w:ascii="Times New Roman" w:hAnsi="Times New Roman"/>
          <w:sz w:val="22"/>
          <w:szCs w:val="22"/>
        </w:rPr>
        <w:t xml:space="preserve"> como responsável técnico;</w:t>
      </w:r>
    </w:p>
    <w:p w14:paraId="2C098CBF" w14:textId="77777777" w:rsidR="009745F2" w:rsidRDefault="009745F2" w:rsidP="009745F2">
      <w:pPr>
        <w:tabs>
          <w:tab w:val="left" w:pos="1418"/>
        </w:tabs>
        <w:jc w:val="both"/>
        <w:rPr>
          <w:rFonts w:ascii="Times New Roman" w:hAnsi="Times New Roman"/>
          <w:sz w:val="22"/>
          <w:szCs w:val="22"/>
        </w:rPr>
      </w:pPr>
    </w:p>
    <w:p w14:paraId="4BB654F4" w14:textId="4E7B0B2D" w:rsidR="00831D80" w:rsidRDefault="00831D80" w:rsidP="00831D80">
      <w:pPr>
        <w:tabs>
          <w:tab w:val="left" w:pos="1418"/>
        </w:tabs>
        <w:jc w:val="both"/>
        <w:rPr>
          <w:rFonts w:ascii="Times New Roman" w:hAnsi="Times New Roman"/>
          <w:sz w:val="22"/>
          <w:szCs w:val="22"/>
        </w:rPr>
      </w:pPr>
      <w:r>
        <w:rPr>
          <w:rFonts w:ascii="Times New Roman" w:hAnsi="Times New Roman"/>
          <w:sz w:val="22"/>
          <w:szCs w:val="22"/>
        </w:rPr>
        <w:t>Considerando que o art. 7º, da Resolução CAU/BR nº 028/2012, instituiu que o</w:t>
      </w:r>
      <w:r w:rsidRPr="009745F2">
        <w:rPr>
          <w:rFonts w:ascii="Times New Roman" w:hAnsi="Times New Roman"/>
          <w:sz w:val="22"/>
          <w:szCs w:val="22"/>
        </w:rPr>
        <w:t xml:space="preserve"> </w:t>
      </w:r>
      <w:r w:rsidRPr="00831D80">
        <w:rPr>
          <w:rFonts w:ascii="Times New Roman" w:hAnsi="Times New Roman"/>
          <w:sz w:val="22"/>
          <w:szCs w:val="22"/>
        </w:rPr>
        <w:t>processo de registro de pessoa jurídica será submetido à avaliação do CAU/UF que, no prazo</w:t>
      </w:r>
      <w:r>
        <w:rPr>
          <w:rFonts w:ascii="Times New Roman" w:hAnsi="Times New Roman"/>
          <w:sz w:val="22"/>
          <w:szCs w:val="22"/>
        </w:rPr>
        <w:t xml:space="preserve"> </w:t>
      </w:r>
      <w:r w:rsidRPr="00831D80">
        <w:rPr>
          <w:rFonts w:ascii="Times New Roman" w:hAnsi="Times New Roman"/>
          <w:sz w:val="22"/>
          <w:szCs w:val="22"/>
        </w:rPr>
        <w:t>de 30 (trinta) dias, deverá: deferir o registro, se a requerente atender aos dispositivos da Lei n° 12.378</w:t>
      </w:r>
      <w:r>
        <w:rPr>
          <w:rFonts w:ascii="Times New Roman" w:hAnsi="Times New Roman"/>
          <w:sz w:val="22"/>
          <w:szCs w:val="22"/>
        </w:rPr>
        <w:t>/</w:t>
      </w:r>
      <w:r w:rsidRPr="00831D80">
        <w:rPr>
          <w:rFonts w:ascii="Times New Roman" w:hAnsi="Times New Roman"/>
          <w:sz w:val="22"/>
          <w:szCs w:val="22"/>
        </w:rPr>
        <w:t>2010 e desta</w:t>
      </w:r>
      <w:r>
        <w:rPr>
          <w:rFonts w:ascii="Times New Roman" w:hAnsi="Times New Roman"/>
          <w:sz w:val="22"/>
          <w:szCs w:val="22"/>
        </w:rPr>
        <w:t xml:space="preserve"> </w:t>
      </w:r>
      <w:r w:rsidRPr="00831D80">
        <w:rPr>
          <w:rFonts w:ascii="Times New Roman" w:hAnsi="Times New Roman"/>
          <w:sz w:val="22"/>
          <w:szCs w:val="22"/>
        </w:rPr>
        <w:t>Resolução; promover diligências para saneamento de pendências, concedendo prazo de 10 (dez) dias para</w:t>
      </w:r>
      <w:r>
        <w:rPr>
          <w:rFonts w:ascii="Times New Roman" w:hAnsi="Times New Roman"/>
          <w:sz w:val="22"/>
          <w:szCs w:val="22"/>
        </w:rPr>
        <w:t xml:space="preserve"> </w:t>
      </w:r>
      <w:r w:rsidRPr="00831D80">
        <w:rPr>
          <w:rFonts w:ascii="Times New Roman" w:hAnsi="Times New Roman"/>
          <w:sz w:val="22"/>
          <w:szCs w:val="22"/>
        </w:rPr>
        <w:t>manifestação da requerente;</w:t>
      </w:r>
      <w:r>
        <w:rPr>
          <w:rFonts w:ascii="Times New Roman" w:hAnsi="Times New Roman"/>
          <w:sz w:val="22"/>
          <w:szCs w:val="22"/>
        </w:rPr>
        <w:t xml:space="preserve"> ou</w:t>
      </w:r>
      <w:r w:rsidRPr="00831D80">
        <w:rPr>
          <w:rFonts w:ascii="Times New Roman" w:hAnsi="Times New Roman"/>
          <w:sz w:val="22"/>
          <w:szCs w:val="22"/>
        </w:rPr>
        <w:t xml:space="preserve"> indeferir o registro, quando ficar co</w:t>
      </w:r>
      <w:r>
        <w:rPr>
          <w:rFonts w:ascii="Times New Roman" w:hAnsi="Times New Roman"/>
          <w:sz w:val="22"/>
          <w:szCs w:val="22"/>
        </w:rPr>
        <w:t>nfigurada a sua impossibilidade;</w:t>
      </w:r>
    </w:p>
    <w:p w14:paraId="30949092" w14:textId="77777777" w:rsidR="00831D80" w:rsidRDefault="00831D80" w:rsidP="00831D80">
      <w:pPr>
        <w:tabs>
          <w:tab w:val="left" w:pos="1418"/>
        </w:tabs>
        <w:jc w:val="both"/>
        <w:rPr>
          <w:rFonts w:ascii="Times New Roman" w:hAnsi="Times New Roman"/>
          <w:sz w:val="22"/>
          <w:szCs w:val="22"/>
        </w:rPr>
      </w:pPr>
    </w:p>
    <w:p w14:paraId="58CF1D9B" w14:textId="6B66DC91" w:rsidR="00831D80" w:rsidRPr="00831D80" w:rsidRDefault="00831D80" w:rsidP="00831D80">
      <w:pPr>
        <w:tabs>
          <w:tab w:val="left" w:pos="1418"/>
        </w:tabs>
        <w:jc w:val="both"/>
        <w:rPr>
          <w:rFonts w:ascii="Times New Roman" w:hAnsi="Times New Roman"/>
          <w:sz w:val="22"/>
          <w:szCs w:val="22"/>
        </w:rPr>
      </w:pPr>
      <w:r>
        <w:rPr>
          <w:rFonts w:ascii="Times New Roman" w:hAnsi="Times New Roman"/>
          <w:sz w:val="22"/>
          <w:szCs w:val="22"/>
        </w:rPr>
        <w:t>Considerando que o art. 20, da Resolução CAU/BR nº 028/2012, estabeleceu que “</w:t>
      </w:r>
      <w:r w:rsidRPr="00831D80">
        <w:rPr>
          <w:rFonts w:ascii="Times New Roman" w:hAnsi="Times New Roman"/>
          <w:i/>
          <w:sz w:val="22"/>
          <w:szCs w:val="22"/>
        </w:rPr>
        <w:t>a pessoa jurídica que, na forma de seus atos constitutivos ou em razão do objeto social ou das atividades efetivamente desenvolvidas, mantenha seção técnica por meio da qual preste ou execute, para si ou para terceiros, obras ou serviços técnicos que se enquadrem nas atividades, atribuições ou campos de atuação profissional da Arquitetura e Urbanismo, está obrigada ao registro da referida seção no CAU/UF da localidade da sua sede</w:t>
      </w:r>
      <w:r>
        <w:rPr>
          <w:rFonts w:ascii="Times New Roman" w:hAnsi="Times New Roman"/>
          <w:sz w:val="22"/>
          <w:szCs w:val="22"/>
        </w:rPr>
        <w:t>” e definiu que “</w:t>
      </w:r>
      <w:r w:rsidRPr="00831D80">
        <w:rPr>
          <w:rFonts w:ascii="Times New Roman" w:hAnsi="Times New Roman"/>
          <w:i/>
          <w:sz w:val="22"/>
          <w:szCs w:val="22"/>
        </w:rPr>
        <w:t>enquadram-se na situação deste artigo as seções técnicas das pessoas jurídicas de direito privado e das de direito público, dos órgãos da administração direta, das autarquias e das fundações que desenvolvam atividades privativas de arquitetos e urbanistas ou compartilhadas entre estes e outras profissões regulamentadas, no caso de terem entre seus responsáveis técnicos arquitetos e urbanistas</w:t>
      </w:r>
      <w:r>
        <w:rPr>
          <w:rFonts w:ascii="Times New Roman" w:hAnsi="Times New Roman"/>
          <w:sz w:val="22"/>
          <w:szCs w:val="22"/>
        </w:rPr>
        <w:t>”;</w:t>
      </w:r>
    </w:p>
    <w:p w14:paraId="57826E71" w14:textId="77777777" w:rsidR="00831D80" w:rsidRDefault="00831D80" w:rsidP="00831D80">
      <w:pPr>
        <w:tabs>
          <w:tab w:val="left" w:pos="1418"/>
        </w:tabs>
        <w:jc w:val="both"/>
        <w:rPr>
          <w:rFonts w:ascii="Times New Roman" w:hAnsi="Times New Roman"/>
          <w:sz w:val="22"/>
          <w:szCs w:val="22"/>
        </w:rPr>
      </w:pPr>
    </w:p>
    <w:p w14:paraId="6428927F" w14:textId="30632736" w:rsidR="00831D80" w:rsidRDefault="00831D80" w:rsidP="00831D80">
      <w:pPr>
        <w:tabs>
          <w:tab w:val="left" w:pos="1418"/>
        </w:tabs>
        <w:jc w:val="both"/>
        <w:rPr>
          <w:rFonts w:ascii="Times New Roman" w:hAnsi="Times New Roman"/>
          <w:sz w:val="22"/>
          <w:szCs w:val="22"/>
        </w:rPr>
      </w:pPr>
      <w:r>
        <w:rPr>
          <w:rFonts w:ascii="Times New Roman" w:hAnsi="Times New Roman"/>
          <w:sz w:val="22"/>
          <w:szCs w:val="22"/>
        </w:rPr>
        <w:t>Considerando que, em conformidade com o art. 21, da Resolução CAU/BR nº 028/2012, o</w:t>
      </w:r>
      <w:r w:rsidRPr="00831D80">
        <w:rPr>
          <w:rFonts w:ascii="Times New Roman" w:hAnsi="Times New Roman"/>
          <w:sz w:val="22"/>
          <w:szCs w:val="22"/>
        </w:rPr>
        <w:t xml:space="preserve"> registro de seção técnica deverá ser requerido por</w:t>
      </w:r>
      <w:r>
        <w:rPr>
          <w:rFonts w:ascii="Times New Roman" w:hAnsi="Times New Roman"/>
          <w:sz w:val="22"/>
          <w:szCs w:val="22"/>
        </w:rPr>
        <w:t xml:space="preserve"> </w:t>
      </w:r>
      <w:r w:rsidRPr="00831D80">
        <w:rPr>
          <w:rFonts w:ascii="Times New Roman" w:hAnsi="Times New Roman"/>
          <w:sz w:val="22"/>
          <w:szCs w:val="22"/>
        </w:rPr>
        <w:t>meio do preenchimento de formulário próprio, disponível no SICCAU, ao qual deve ser anexada a</w:t>
      </w:r>
      <w:r>
        <w:rPr>
          <w:rFonts w:ascii="Times New Roman" w:hAnsi="Times New Roman"/>
          <w:sz w:val="22"/>
          <w:szCs w:val="22"/>
        </w:rPr>
        <w:t xml:space="preserve"> </w:t>
      </w:r>
      <w:r w:rsidRPr="00831D80">
        <w:rPr>
          <w:rFonts w:ascii="Times New Roman" w:hAnsi="Times New Roman"/>
          <w:sz w:val="22"/>
          <w:szCs w:val="22"/>
        </w:rPr>
        <w:t>seguinte documentação:</w:t>
      </w:r>
      <w:r>
        <w:rPr>
          <w:rFonts w:ascii="Times New Roman" w:hAnsi="Times New Roman"/>
          <w:sz w:val="22"/>
          <w:szCs w:val="22"/>
        </w:rPr>
        <w:t xml:space="preserve"> </w:t>
      </w:r>
      <w:r w:rsidRPr="00831D80">
        <w:rPr>
          <w:rFonts w:ascii="Times New Roman" w:hAnsi="Times New Roman"/>
          <w:sz w:val="22"/>
          <w:szCs w:val="22"/>
        </w:rPr>
        <w:t>ato constitutivo da pessoa jurídica e, se houver, da seção técnica; comprovante de inscrição no Cadastro Nacional de Pessoas Jurídicas (CNPJ) da pessoa jurídica a que</w:t>
      </w:r>
      <w:r>
        <w:rPr>
          <w:rFonts w:ascii="Times New Roman" w:hAnsi="Times New Roman"/>
          <w:sz w:val="22"/>
          <w:szCs w:val="22"/>
        </w:rPr>
        <w:t xml:space="preserve"> </w:t>
      </w:r>
      <w:r w:rsidRPr="00831D80">
        <w:rPr>
          <w:rFonts w:ascii="Times New Roman" w:hAnsi="Times New Roman"/>
          <w:sz w:val="22"/>
          <w:szCs w:val="22"/>
        </w:rPr>
        <w:t>a seção técnica se vincula;</w:t>
      </w:r>
      <w:r>
        <w:rPr>
          <w:rFonts w:ascii="Times New Roman" w:hAnsi="Times New Roman"/>
          <w:sz w:val="22"/>
          <w:szCs w:val="22"/>
        </w:rPr>
        <w:t xml:space="preserve"> e </w:t>
      </w:r>
      <w:r w:rsidRPr="00831D80">
        <w:rPr>
          <w:rFonts w:ascii="Times New Roman" w:hAnsi="Times New Roman"/>
          <w:sz w:val="22"/>
          <w:szCs w:val="22"/>
        </w:rPr>
        <w:t>Registro de Responsabilidade Técnica (RRT) de Cargo ou Função do responsável técnico pela seção</w:t>
      </w:r>
      <w:r>
        <w:rPr>
          <w:rFonts w:ascii="Times New Roman" w:hAnsi="Times New Roman"/>
          <w:sz w:val="22"/>
          <w:szCs w:val="22"/>
        </w:rPr>
        <w:t xml:space="preserve"> técnica;</w:t>
      </w:r>
    </w:p>
    <w:p w14:paraId="0388FAAA" w14:textId="77777777" w:rsidR="00831D80" w:rsidRDefault="00831D80" w:rsidP="00831D80">
      <w:pPr>
        <w:tabs>
          <w:tab w:val="left" w:pos="1418"/>
        </w:tabs>
        <w:jc w:val="both"/>
        <w:rPr>
          <w:rFonts w:ascii="Times New Roman" w:hAnsi="Times New Roman"/>
          <w:sz w:val="22"/>
          <w:szCs w:val="22"/>
        </w:rPr>
      </w:pPr>
    </w:p>
    <w:p w14:paraId="53F8E4B1" w14:textId="5E959EA3" w:rsidR="00831D80" w:rsidRDefault="00831D80" w:rsidP="00831D80">
      <w:pPr>
        <w:tabs>
          <w:tab w:val="left" w:pos="1418"/>
        </w:tabs>
        <w:jc w:val="both"/>
        <w:rPr>
          <w:rFonts w:ascii="Times New Roman" w:hAnsi="Times New Roman"/>
          <w:sz w:val="22"/>
          <w:szCs w:val="22"/>
        </w:rPr>
      </w:pPr>
      <w:r>
        <w:rPr>
          <w:rFonts w:ascii="Times New Roman" w:hAnsi="Times New Roman"/>
          <w:sz w:val="22"/>
          <w:szCs w:val="22"/>
        </w:rPr>
        <w:t>Considerando que, pelo disposto no art. 29, da Resolução CAU/BR nº 028/2012, “u</w:t>
      </w:r>
      <w:r w:rsidRPr="00831D80">
        <w:rPr>
          <w:rFonts w:ascii="Times New Roman" w:hAnsi="Times New Roman"/>
          <w:i/>
          <w:sz w:val="22"/>
          <w:szCs w:val="22"/>
        </w:rPr>
        <w:t>ma vez deferido o registro das pessoas jurídicas tratadas nesta Resolução, essas, antes do início de suas atividades, deverão efetuar junto ao CAU/UF o pagamento da anuidade do exercício corrente</w:t>
      </w:r>
      <w:r>
        <w:rPr>
          <w:rFonts w:ascii="Times New Roman" w:hAnsi="Times New Roman"/>
          <w:sz w:val="22"/>
          <w:szCs w:val="22"/>
        </w:rPr>
        <w:t>”;</w:t>
      </w:r>
    </w:p>
    <w:p w14:paraId="4071E3D5" w14:textId="77777777" w:rsidR="00831D80" w:rsidRDefault="00831D80" w:rsidP="00831D80">
      <w:pPr>
        <w:tabs>
          <w:tab w:val="left" w:pos="1418"/>
        </w:tabs>
        <w:jc w:val="both"/>
        <w:rPr>
          <w:rFonts w:ascii="Times New Roman" w:hAnsi="Times New Roman"/>
          <w:sz w:val="22"/>
          <w:szCs w:val="22"/>
        </w:rPr>
      </w:pPr>
    </w:p>
    <w:p w14:paraId="43D5E983" w14:textId="55BA87A8" w:rsidR="00831D80" w:rsidRDefault="00831D80" w:rsidP="00831D80">
      <w:pPr>
        <w:tabs>
          <w:tab w:val="left" w:pos="1418"/>
        </w:tabs>
        <w:jc w:val="both"/>
        <w:rPr>
          <w:rFonts w:ascii="Times New Roman" w:hAnsi="Times New Roman"/>
          <w:sz w:val="22"/>
          <w:szCs w:val="22"/>
        </w:rPr>
      </w:pPr>
      <w:r>
        <w:rPr>
          <w:rFonts w:ascii="Times New Roman" w:hAnsi="Times New Roman"/>
          <w:sz w:val="22"/>
          <w:szCs w:val="22"/>
        </w:rPr>
        <w:t>Considerando o disposto no art. 30, da Resolução CAU/BR nº 028/2012, o qual define que “</w:t>
      </w:r>
      <w:r w:rsidRPr="00831D80">
        <w:rPr>
          <w:rFonts w:ascii="Times New Roman" w:hAnsi="Times New Roman"/>
          <w:i/>
          <w:sz w:val="22"/>
          <w:szCs w:val="22"/>
        </w:rPr>
        <w:t>a pessoa jurídica registrada no CAU/UF fica sujeita aos regimes de anuidades, taxas e multas</w:t>
      </w:r>
      <w:r>
        <w:rPr>
          <w:rFonts w:ascii="Times New Roman" w:hAnsi="Times New Roman"/>
          <w:i/>
          <w:sz w:val="22"/>
          <w:szCs w:val="22"/>
        </w:rPr>
        <w:t xml:space="preserve"> </w:t>
      </w:r>
      <w:r w:rsidRPr="00831D80">
        <w:rPr>
          <w:rFonts w:ascii="Times New Roman" w:hAnsi="Times New Roman"/>
          <w:i/>
          <w:sz w:val="22"/>
          <w:szCs w:val="22"/>
        </w:rPr>
        <w:t>fixados em normas próprias do CAU/BR</w:t>
      </w:r>
      <w:r>
        <w:rPr>
          <w:rFonts w:ascii="Times New Roman" w:hAnsi="Times New Roman"/>
          <w:sz w:val="22"/>
          <w:szCs w:val="22"/>
        </w:rPr>
        <w:t>”;</w:t>
      </w:r>
    </w:p>
    <w:p w14:paraId="2FE970FC" w14:textId="77777777" w:rsidR="00F1200E" w:rsidRDefault="00F1200E" w:rsidP="00831D80">
      <w:pPr>
        <w:tabs>
          <w:tab w:val="left" w:pos="1418"/>
        </w:tabs>
        <w:jc w:val="both"/>
        <w:rPr>
          <w:rFonts w:ascii="Times New Roman" w:hAnsi="Times New Roman"/>
          <w:sz w:val="22"/>
          <w:szCs w:val="22"/>
        </w:rPr>
      </w:pPr>
    </w:p>
    <w:p w14:paraId="29A02E98" w14:textId="53AFE4A0" w:rsidR="00F1200E" w:rsidRDefault="00F1200E" w:rsidP="00831D80">
      <w:pPr>
        <w:tabs>
          <w:tab w:val="left" w:pos="1418"/>
        </w:tabs>
        <w:jc w:val="both"/>
        <w:rPr>
          <w:rFonts w:ascii="Times New Roman" w:hAnsi="Times New Roman"/>
          <w:sz w:val="22"/>
          <w:szCs w:val="22"/>
        </w:rPr>
      </w:pPr>
      <w:r>
        <w:rPr>
          <w:rFonts w:ascii="Times New Roman" w:hAnsi="Times New Roman"/>
          <w:sz w:val="22"/>
          <w:szCs w:val="22"/>
        </w:rPr>
        <w:t>Considerando que, aparentemente, o registro de seção técnica não encontra suporte na Lei nº 12.378/2010, haja vista que</w:t>
      </w:r>
      <w:r w:rsidR="002B776B">
        <w:rPr>
          <w:rFonts w:ascii="Times New Roman" w:hAnsi="Times New Roman"/>
          <w:sz w:val="22"/>
          <w:szCs w:val="22"/>
        </w:rPr>
        <w:t xml:space="preserve"> esta</w:t>
      </w:r>
      <w:r>
        <w:rPr>
          <w:rFonts w:ascii="Times New Roman" w:hAnsi="Times New Roman"/>
          <w:sz w:val="22"/>
          <w:szCs w:val="22"/>
        </w:rPr>
        <w:t>, no mínimo, não possui personalidade jurídica própria;</w:t>
      </w:r>
    </w:p>
    <w:p w14:paraId="00299159" w14:textId="77777777" w:rsidR="00F1200E" w:rsidRDefault="00F1200E" w:rsidP="00831D80">
      <w:pPr>
        <w:tabs>
          <w:tab w:val="left" w:pos="1418"/>
        </w:tabs>
        <w:jc w:val="both"/>
        <w:rPr>
          <w:rFonts w:ascii="Times New Roman" w:hAnsi="Times New Roman"/>
          <w:sz w:val="22"/>
          <w:szCs w:val="22"/>
        </w:rPr>
      </w:pPr>
    </w:p>
    <w:p w14:paraId="05EFB89F" w14:textId="3F889269" w:rsidR="00831D80" w:rsidRPr="002B776B" w:rsidRDefault="00F1200E" w:rsidP="00831D80">
      <w:pPr>
        <w:tabs>
          <w:tab w:val="left" w:pos="1418"/>
        </w:tabs>
        <w:jc w:val="both"/>
        <w:rPr>
          <w:rFonts w:ascii="Times New Roman" w:hAnsi="Times New Roman"/>
          <w:sz w:val="22"/>
          <w:szCs w:val="22"/>
        </w:rPr>
      </w:pPr>
      <w:r>
        <w:rPr>
          <w:rFonts w:ascii="Times New Roman" w:hAnsi="Times New Roman"/>
          <w:sz w:val="22"/>
          <w:szCs w:val="22"/>
        </w:rPr>
        <w:t xml:space="preserve">Considerando que, </w:t>
      </w:r>
      <w:r w:rsidR="002B776B">
        <w:rPr>
          <w:rFonts w:ascii="Times New Roman" w:hAnsi="Times New Roman"/>
          <w:sz w:val="22"/>
          <w:szCs w:val="22"/>
        </w:rPr>
        <w:t>efetuado o registro</w:t>
      </w:r>
      <w:r>
        <w:rPr>
          <w:rFonts w:ascii="Times New Roman" w:hAnsi="Times New Roman"/>
          <w:sz w:val="22"/>
          <w:szCs w:val="22"/>
        </w:rPr>
        <w:t xml:space="preserve">, </w:t>
      </w:r>
      <w:r w:rsidR="002B776B">
        <w:rPr>
          <w:rFonts w:ascii="Times New Roman" w:hAnsi="Times New Roman"/>
          <w:sz w:val="22"/>
          <w:szCs w:val="22"/>
        </w:rPr>
        <w:t xml:space="preserve">será obrigatória a cobrança do tributo anuidade das pessoas jurídicas que </w:t>
      </w:r>
      <w:r w:rsidR="002B776B" w:rsidRPr="002B776B">
        <w:rPr>
          <w:rFonts w:ascii="Times New Roman" w:hAnsi="Times New Roman"/>
          <w:sz w:val="22"/>
          <w:szCs w:val="22"/>
        </w:rPr>
        <w:t>mantenha</w:t>
      </w:r>
      <w:r w:rsidR="002B776B">
        <w:rPr>
          <w:rFonts w:ascii="Times New Roman" w:hAnsi="Times New Roman"/>
          <w:sz w:val="22"/>
          <w:szCs w:val="22"/>
        </w:rPr>
        <w:t>m</w:t>
      </w:r>
      <w:r w:rsidR="002B776B" w:rsidRPr="002B776B">
        <w:rPr>
          <w:rFonts w:ascii="Times New Roman" w:hAnsi="Times New Roman"/>
          <w:sz w:val="22"/>
          <w:szCs w:val="22"/>
        </w:rPr>
        <w:t xml:space="preserve"> seç</w:t>
      </w:r>
      <w:r w:rsidR="002B776B">
        <w:rPr>
          <w:rFonts w:ascii="Times New Roman" w:hAnsi="Times New Roman"/>
          <w:sz w:val="22"/>
          <w:szCs w:val="22"/>
        </w:rPr>
        <w:t>ões</w:t>
      </w:r>
      <w:r w:rsidR="002B776B" w:rsidRPr="002B776B">
        <w:rPr>
          <w:rFonts w:ascii="Times New Roman" w:hAnsi="Times New Roman"/>
          <w:sz w:val="22"/>
          <w:szCs w:val="22"/>
        </w:rPr>
        <w:t xml:space="preserve"> técnica</w:t>
      </w:r>
      <w:r w:rsidR="002B776B">
        <w:rPr>
          <w:rFonts w:ascii="Times New Roman" w:hAnsi="Times New Roman"/>
          <w:sz w:val="22"/>
          <w:szCs w:val="22"/>
        </w:rPr>
        <w:t xml:space="preserve">s de </w:t>
      </w:r>
      <w:r w:rsidR="002B776B" w:rsidRPr="002B776B">
        <w:rPr>
          <w:rFonts w:ascii="Times New Roman" w:hAnsi="Times New Roman"/>
          <w:sz w:val="22"/>
          <w:szCs w:val="22"/>
        </w:rPr>
        <w:t>arquitetura e urbanismo, pois somente a lei pode estabelecer as hipóteses de exclusão, suspensão e extinção de créditos tributários, conforme o disposto no art. 97, inciso V, do Código Tributário Nacional, sob pena de se configurar renúncia ilegal de receita;</w:t>
      </w:r>
    </w:p>
    <w:p w14:paraId="6007C3E4" w14:textId="77777777" w:rsidR="00F1200E" w:rsidRDefault="00F1200E" w:rsidP="00831D80">
      <w:pPr>
        <w:tabs>
          <w:tab w:val="left" w:pos="1418"/>
        </w:tabs>
        <w:jc w:val="both"/>
        <w:rPr>
          <w:rFonts w:ascii="Times New Roman" w:hAnsi="Times New Roman"/>
          <w:sz w:val="22"/>
          <w:szCs w:val="22"/>
        </w:rPr>
      </w:pPr>
    </w:p>
    <w:p w14:paraId="0994630E" w14:textId="1F84C6AC" w:rsidR="00236679" w:rsidRDefault="00236679" w:rsidP="00236679">
      <w:pPr>
        <w:tabs>
          <w:tab w:val="left" w:pos="1418"/>
        </w:tabs>
        <w:jc w:val="both"/>
        <w:rPr>
          <w:rFonts w:ascii="Times New Roman" w:hAnsi="Times New Roman"/>
          <w:sz w:val="22"/>
          <w:szCs w:val="22"/>
        </w:rPr>
      </w:pPr>
      <w:r>
        <w:rPr>
          <w:rFonts w:ascii="Times New Roman" w:hAnsi="Times New Roman"/>
          <w:sz w:val="22"/>
          <w:szCs w:val="22"/>
        </w:rPr>
        <w:t>Considerando que a CEP-CAU/BR, por meio da Deliberação nº 032/2016, manifestou-se no sentido de que “</w:t>
      </w:r>
      <w:r w:rsidRPr="00236679">
        <w:rPr>
          <w:rFonts w:ascii="Times New Roman" w:hAnsi="Times New Roman"/>
          <w:i/>
          <w:sz w:val="22"/>
          <w:szCs w:val="22"/>
        </w:rPr>
        <w:t>as Seções Técnicas das Pessoas Jurídicas de Direito Público não estão sujeitas ao pagamento de anuidades ao Conselho de Arquitetura e Urbanismo</w:t>
      </w:r>
      <w:r>
        <w:rPr>
          <w:rFonts w:ascii="Times New Roman" w:hAnsi="Times New Roman"/>
          <w:sz w:val="22"/>
          <w:szCs w:val="22"/>
        </w:rPr>
        <w:t>”;</w:t>
      </w:r>
    </w:p>
    <w:p w14:paraId="58428DE9" w14:textId="77777777" w:rsidR="00770236" w:rsidRDefault="00770236" w:rsidP="00770236">
      <w:pPr>
        <w:tabs>
          <w:tab w:val="left" w:pos="1418"/>
        </w:tabs>
        <w:jc w:val="both"/>
        <w:rPr>
          <w:rFonts w:ascii="Times New Roman" w:hAnsi="Times New Roman"/>
          <w:sz w:val="22"/>
          <w:szCs w:val="22"/>
        </w:rPr>
      </w:pPr>
    </w:p>
    <w:p w14:paraId="1D3368A7" w14:textId="1A994D72" w:rsidR="00770236" w:rsidRDefault="00770236" w:rsidP="00770236">
      <w:pPr>
        <w:tabs>
          <w:tab w:val="left" w:pos="1418"/>
        </w:tabs>
        <w:jc w:val="both"/>
        <w:rPr>
          <w:rFonts w:ascii="Times New Roman" w:hAnsi="Times New Roman"/>
          <w:sz w:val="22"/>
          <w:szCs w:val="22"/>
        </w:rPr>
      </w:pPr>
      <w:r>
        <w:rPr>
          <w:rFonts w:ascii="Times New Roman" w:hAnsi="Times New Roman"/>
          <w:sz w:val="22"/>
          <w:szCs w:val="22"/>
        </w:rPr>
        <w:t>Considerando que a CEP-CAU/BR, por meio da Deliberação nº 088/2017, solicitou a implantação no SICCAU – SERVIÇOS ONLINE da função de “</w:t>
      </w:r>
      <w:r w:rsidRPr="00770236">
        <w:rPr>
          <w:rFonts w:ascii="Times New Roman" w:hAnsi="Times New Roman"/>
          <w:i/>
          <w:sz w:val="22"/>
          <w:szCs w:val="22"/>
        </w:rPr>
        <w:t>solicitar cadastro das seções técnicas</w:t>
      </w:r>
      <w:r>
        <w:rPr>
          <w:rFonts w:ascii="Times New Roman" w:hAnsi="Times New Roman"/>
          <w:sz w:val="22"/>
          <w:szCs w:val="22"/>
        </w:rPr>
        <w:t>”, para as pessoas jurídicas de direito público ou privado, nos moldes e critérios da função existente de “</w:t>
      </w:r>
      <w:r w:rsidRPr="00770236">
        <w:rPr>
          <w:rFonts w:ascii="Times New Roman" w:hAnsi="Times New Roman"/>
          <w:i/>
          <w:sz w:val="22"/>
          <w:szCs w:val="22"/>
        </w:rPr>
        <w:t>solicitar registro de empresa</w:t>
      </w:r>
      <w:r>
        <w:rPr>
          <w:rFonts w:ascii="Times New Roman" w:hAnsi="Times New Roman"/>
          <w:sz w:val="22"/>
          <w:szCs w:val="22"/>
        </w:rPr>
        <w:t>”;</w:t>
      </w:r>
    </w:p>
    <w:p w14:paraId="1CA8BD92" w14:textId="77777777" w:rsidR="00236679" w:rsidRPr="002B776B" w:rsidRDefault="00236679" w:rsidP="00831D80">
      <w:pPr>
        <w:tabs>
          <w:tab w:val="left" w:pos="1418"/>
        </w:tabs>
        <w:jc w:val="both"/>
        <w:rPr>
          <w:rFonts w:ascii="Times New Roman" w:hAnsi="Times New Roman"/>
          <w:sz w:val="22"/>
          <w:szCs w:val="22"/>
        </w:rPr>
      </w:pPr>
    </w:p>
    <w:p w14:paraId="2271FAFA" w14:textId="1AF15450" w:rsidR="00700227" w:rsidRPr="00FE305A" w:rsidRDefault="00700227" w:rsidP="007A258E">
      <w:pPr>
        <w:tabs>
          <w:tab w:val="left" w:pos="1418"/>
        </w:tabs>
        <w:jc w:val="both"/>
        <w:rPr>
          <w:rFonts w:ascii="Times New Roman" w:hAnsi="Times New Roman"/>
          <w:sz w:val="22"/>
          <w:szCs w:val="22"/>
        </w:rPr>
      </w:pPr>
      <w:r w:rsidRPr="002B776B">
        <w:rPr>
          <w:rFonts w:ascii="Times New Roman" w:hAnsi="Times New Roman"/>
          <w:sz w:val="22"/>
          <w:szCs w:val="22"/>
        </w:rPr>
        <w:t xml:space="preserve">Considerando o disposto no art. 116 do Regimento Interno do CAU/RS, o qual determina que todas as deliberações exaradas </w:t>
      </w:r>
      <w:r w:rsidRPr="00FE305A">
        <w:rPr>
          <w:rFonts w:ascii="Times New Roman" w:hAnsi="Times New Roman"/>
          <w:sz w:val="22"/>
          <w:szCs w:val="22"/>
        </w:rPr>
        <w:t>pelas comissões serão encaminhadas à Presidência para conhecimento, providências, apreciação aprovação ou homologação</w:t>
      </w:r>
      <w:r w:rsidR="00D36921" w:rsidRPr="00FE305A">
        <w:rPr>
          <w:rFonts w:ascii="Times New Roman" w:hAnsi="Times New Roman"/>
          <w:sz w:val="22"/>
          <w:szCs w:val="22"/>
        </w:rPr>
        <w:t xml:space="preserve"> pelo Plenário, conforme o caso;</w:t>
      </w:r>
    </w:p>
    <w:p w14:paraId="0E95C34C" w14:textId="77777777" w:rsidR="00700227" w:rsidRPr="00FE305A" w:rsidRDefault="00700227" w:rsidP="007A258E">
      <w:pPr>
        <w:tabs>
          <w:tab w:val="left" w:pos="1418"/>
        </w:tabs>
        <w:jc w:val="both"/>
        <w:rPr>
          <w:rFonts w:ascii="Times New Roman" w:hAnsi="Times New Roman"/>
          <w:sz w:val="22"/>
          <w:szCs w:val="22"/>
        </w:rPr>
      </w:pPr>
    </w:p>
    <w:p w14:paraId="29F4C11A" w14:textId="6F05F720" w:rsidR="008E535B" w:rsidRPr="00FE305A" w:rsidRDefault="005F4AC2" w:rsidP="007A258E">
      <w:pPr>
        <w:tabs>
          <w:tab w:val="left" w:pos="1418"/>
        </w:tabs>
        <w:jc w:val="both"/>
        <w:rPr>
          <w:rFonts w:ascii="Times New Roman" w:hAnsi="Times New Roman"/>
          <w:sz w:val="22"/>
          <w:szCs w:val="22"/>
        </w:rPr>
      </w:pPr>
      <w:r w:rsidRPr="00FE305A">
        <w:rPr>
          <w:rFonts w:ascii="Times New Roman" w:hAnsi="Times New Roman"/>
          <w:b/>
          <w:sz w:val="22"/>
          <w:szCs w:val="22"/>
        </w:rPr>
        <w:t>DELIBEROU</w:t>
      </w:r>
      <w:r w:rsidRPr="00FE305A">
        <w:rPr>
          <w:rFonts w:ascii="Times New Roman" w:hAnsi="Times New Roman"/>
          <w:sz w:val="22"/>
          <w:szCs w:val="22"/>
        </w:rPr>
        <w:t>:</w:t>
      </w:r>
    </w:p>
    <w:p w14:paraId="2DA0C7D5" w14:textId="77777777" w:rsidR="008E535B" w:rsidRPr="00FE305A" w:rsidRDefault="008E535B" w:rsidP="007A258E">
      <w:pPr>
        <w:tabs>
          <w:tab w:val="left" w:pos="1418"/>
        </w:tabs>
        <w:jc w:val="both"/>
        <w:rPr>
          <w:rFonts w:ascii="Times New Roman" w:hAnsi="Times New Roman"/>
          <w:sz w:val="22"/>
          <w:szCs w:val="22"/>
        </w:rPr>
      </w:pPr>
    </w:p>
    <w:p w14:paraId="6C020D10" w14:textId="318F9368" w:rsidR="000C1BED" w:rsidRPr="000C1BED" w:rsidRDefault="00FE305A" w:rsidP="001516FC">
      <w:pPr>
        <w:pStyle w:val="PargrafodaLista"/>
        <w:numPr>
          <w:ilvl w:val="0"/>
          <w:numId w:val="16"/>
        </w:numPr>
        <w:ind w:left="709" w:hanging="425"/>
        <w:contextualSpacing w:val="0"/>
        <w:jc w:val="both"/>
        <w:rPr>
          <w:rFonts w:ascii="Times New Roman" w:hAnsi="Times New Roman"/>
          <w:b/>
          <w:sz w:val="22"/>
          <w:szCs w:val="22"/>
        </w:rPr>
      </w:pPr>
      <w:r w:rsidRPr="00236679">
        <w:rPr>
          <w:rFonts w:ascii="Times New Roman" w:hAnsi="Times New Roman"/>
          <w:sz w:val="22"/>
          <w:szCs w:val="22"/>
        </w:rPr>
        <w:t xml:space="preserve">Por solicitar à Presidência do CAU/RS que encaminhe ofício destinado à CEP-CAU/BR, com o objetivo de </w:t>
      </w:r>
      <w:r w:rsidR="00236679" w:rsidRPr="00236679">
        <w:rPr>
          <w:rFonts w:ascii="Times New Roman" w:hAnsi="Times New Roman"/>
          <w:sz w:val="22"/>
          <w:szCs w:val="22"/>
        </w:rPr>
        <w:t>pedir</w:t>
      </w:r>
      <w:r w:rsidR="000C1BED">
        <w:rPr>
          <w:rFonts w:ascii="Times New Roman" w:hAnsi="Times New Roman"/>
          <w:sz w:val="22"/>
          <w:szCs w:val="22"/>
        </w:rPr>
        <w:t xml:space="preserve"> que:</w:t>
      </w:r>
    </w:p>
    <w:p w14:paraId="39CF2D75" w14:textId="467CFB54" w:rsidR="00236679" w:rsidRPr="000C1BED" w:rsidRDefault="000C1BED" w:rsidP="000C1BED">
      <w:pPr>
        <w:pStyle w:val="PargrafodaLista"/>
        <w:numPr>
          <w:ilvl w:val="0"/>
          <w:numId w:val="19"/>
        </w:numPr>
        <w:ind w:left="1134" w:hanging="425"/>
        <w:contextualSpacing w:val="0"/>
        <w:jc w:val="both"/>
        <w:rPr>
          <w:rFonts w:ascii="Times New Roman" w:hAnsi="Times New Roman"/>
          <w:sz w:val="22"/>
          <w:szCs w:val="22"/>
        </w:rPr>
      </w:pPr>
      <w:r w:rsidRPr="000C1BED">
        <w:rPr>
          <w:rFonts w:ascii="Times New Roman" w:hAnsi="Times New Roman"/>
          <w:sz w:val="22"/>
          <w:szCs w:val="22"/>
        </w:rPr>
        <w:t xml:space="preserve">Preste esclarecimento </w:t>
      </w:r>
      <w:r w:rsidR="00236679" w:rsidRPr="000C1BED">
        <w:rPr>
          <w:rFonts w:ascii="Times New Roman" w:hAnsi="Times New Roman"/>
          <w:sz w:val="22"/>
          <w:szCs w:val="22"/>
        </w:rPr>
        <w:t>acerca da legalidade e da possibilidade de se efetuar o registro e, consequentemente, de se cobrar a contribuições sociais de interesse das categorias profissionais (anuidade) de pessoas jurídicas de direito público ou privado que, embora mantenham seções técnicas de arquitetura e urbanismo, não possuam atividade fim relacionada à profissão;</w:t>
      </w:r>
    </w:p>
    <w:p w14:paraId="393E9965" w14:textId="0FE106C3" w:rsidR="000C1BED" w:rsidRPr="000C1BED" w:rsidRDefault="000C1BED" w:rsidP="000C1BED">
      <w:pPr>
        <w:pStyle w:val="PargrafodaLista"/>
        <w:numPr>
          <w:ilvl w:val="0"/>
          <w:numId w:val="19"/>
        </w:numPr>
        <w:ind w:left="1134" w:hanging="425"/>
        <w:contextualSpacing w:val="0"/>
        <w:jc w:val="both"/>
        <w:rPr>
          <w:rFonts w:ascii="Times New Roman" w:hAnsi="Times New Roman"/>
          <w:sz w:val="22"/>
          <w:szCs w:val="22"/>
        </w:rPr>
      </w:pPr>
      <w:r w:rsidRPr="000C1BED">
        <w:rPr>
          <w:rFonts w:ascii="Times New Roman" w:hAnsi="Times New Roman"/>
          <w:sz w:val="22"/>
          <w:szCs w:val="22"/>
        </w:rPr>
        <w:t>Caso entenda que “</w:t>
      </w:r>
      <w:r w:rsidRPr="000C1BED">
        <w:rPr>
          <w:rFonts w:ascii="Times New Roman" w:hAnsi="Times New Roman"/>
          <w:i/>
          <w:sz w:val="22"/>
          <w:szCs w:val="22"/>
        </w:rPr>
        <w:t>a</w:t>
      </w:r>
      <w:bookmarkStart w:id="0" w:name="_GoBack"/>
      <w:bookmarkEnd w:id="0"/>
      <w:r w:rsidRPr="000C1BED">
        <w:rPr>
          <w:rFonts w:ascii="Times New Roman" w:hAnsi="Times New Roman"/>
          <w:i/>
          <w:sz w:val="22"/>
          <w:szCs w:val="22"/>
        </w:rPr>
        <w:t>s pessoas jurídicas de direito público (União, Estados e Municípios, Autarquias e Fundações públicas) e suas seções técnicas não estão sujeitas a registro nos conselhos de fiscalização profissional, inclusive no CAU, nem ao pagamento de anuidades</w:t>
      </w:r>
      <w:r w:rsidRPr="000C1BED">
        <w:rPr>
          <w:rFonts w:ascii="Times New Roman" w:hAnsi="Times New Roman"/>
          <w:sz w:val="22"/>
          <w:szCs w:val="22"/>
        </w:rPr>
        <w:t>”</w:t>
      </w:r>
      <w:r w:rsidRPr="000C1BED">
        <w:rPr>
          <w:rStyle w:val="Refdenotaderodap"/>
          <w:rFonts w:ascii="Times New Roman" w:hAnsi="Times New Roman"/>
          <w:sz w:val="22"/>
          <w:szCs w:val="22"/>
        </w:rPr>
        <w:footnoteReference w:id="1"/>
      </w:r>
      <w:r w:rsidRPr="000C1BED">
        <w:rPr>
          <w:rFonts w:ascii="Times New Roman" w:hAnsi="Times New Roman"/>
          <w:sz w:val="22"/>
          <w:szCs w:val="22"/>
        </w:rPr>
        <w:t>, adote providências no sentido de revogar, imediatamente, o Capítulo IV – Do Registro de Seções Técnicas, da Resolução CAU/BR nº 028/2012, pois a sua permanência gera severo risco aos CAU/UF;</w:t>
      </w:r>
    </w:p>
    <w:p w14:paraId="6ED22792" w14:textId="77777777" w:rsidR="000C1BED" w:rsidRPr="000C1BED" w:rsidRDefault="000C1BED" w:rsidP="00236679">
      <w:pPr>
        <w:pStyle w:val="PargrafodaLista"/>
        <w:ind w:left="709"/>
        <w:contextualSpacing w:val="0"/>
        <w:jc w:val="both"/>
        <w:rPr>
          <w:rFonts w:ascii="Times New Roman" w:hAnsi="Times New Roman"/>
          <w:sz w:val="22"/>
          <w:szCs w:val="22"/>
        </w:rPr>
      </w:pPr>
    </w:p>
    <w:p w14:paraId="3A99A429" w14:textId="6F3EFE32" w:rsidR="00DD3815" w:rsidRPr="0091490C" w:rsidRDefault="00F1105B" w:rsidP="007A258E">
      <w:pPr>
        <w:pStyle w:val="PargrafodaLista"/>
        <w:numPr>
          <w:ilvl w:val="0"/>
          <w:numId w:val="16"/>
        </w:numPr>
        <w:ind w:left="709" w:hanging="425"/>
        <w:contextualSpacing w:val="0"/>
        <w:jc w:val="both"/>
        <w:rPr>
          <w:rFonts w:ascii="Times New Roman" w:hAnsi="Times New Roman"/>
          <w:sz w:val="22"/>
          <w:szCs w:val="22"/>
        </w:rPr>
      </w:pPr>
      <w:r w:rsidRPr="007527DC">
        <w:rPr>
          <w:rFonts w:ascii="Times New Roman" w:hAnsi="Times New Roman"/>
          <w:sz w:val="22"/>
          <w:szCs w:val="22"/>
        </w:rPr>
        <w:t>Por e</w:t>
      </w:r>
      <w:r w:rsidR="00DD3815" w:rsidRPr="007527DC">
        <w:rPr>
          <w:rFonts w:ascii="Times New Roman" w:hAnsi="Times New Roman"/>
          <w:sz w:val="22"/>
          <w:szCs w:val="22"/>
        </w:rPr>
        <w:t xml:space="preserve">ncaminhar a presente Deliberação à Presidência </w:t>
      </w:r>
      <w:r w:rsidR="00DD3815" w:rsidRPr="0091490C">
        <w:rPr>
          <w:rFonts w:ascii="Times New Roman" w:hAnsi="Times New Roman"/>
          <w:sz w:val="22"/>
          <w:szCs w:val="22"/>
        </w:rPr>
        <w:t xml:space="preserve">do CAU/RS para, nos termos do art. 116, do Regimento Interno do CAU/RS, submetê-la </w:t>
      </w:r>
      <w:r w:rsidR="001C2A80" w:rsidRPr="0091490C">
        <w:rPr>
          <w:rFonts w:ascii="Times New Roman" w:hAnsi="Times New Roman"/>
          <w:sz w:val="22"/>
          <w:szCs w:val="22"/>
        </w:rPr>
        <w:t xml:space="preserve">ao </w:t>
      </w:r>
      <w:r w:rsidR="00DD3815" w:rsidRPr="0091490C">
        <w:rPr>
          <w:rFonts w:ascii="Times New Roman" w:hAnsi="Times New Roman"/>
          <w:sz w:val="22"/>
          <w:szCs w:val="22"/>
        </w:rPr>
        <w:t>Plenário deste Conselho</w:t>
      </w:r>
      <w:r w:rsidR="001C2A80" w:rsidRPr="0091490C">
        <w:rPr>
          <w:rFonts w:ascii="Times New Roman" w:hAnsi="Times New Roman"/>
          <w:sz w:val="22"/>
          <w:szCs w:val="22"/>
        </w:rPr>
        <w:t xml:space="preserve"> para conhecimento</w:t>
      </w:r>
      <w:r w:rsidR="00DD3815" w:rsidRPr="0091490C">
        <w:rPr>
          <w:rFonts w:ascii="Times New Roman" w:hAnsi="Times New Roman"/>
          <w:sz w:val="22"/>
          <w:szCs w:val="22"/>
        </w:rPr>
        <w:t>.</w:t>
      </w:r>
    </w:p>
    <w:p w14:paraId="629BB5CB" w14:textId="77777777" w:rsidR="00AC59B2" w:rsidRPr="0091490C" w:rsidRDefault="00AC59B2" w:rsidP="007A258E">
      <w:pPr>
        <w:pStyle w:val="PargrafodaLista"/>
        <w:ind w:left="709"/>
        <w:contextualSpacing w:val="0"/>
        <w:jc w:val="both"/>
        <w:rPr>
          <w:rFonts w:ascii="Times New Roman" w:hAnsi="Times New Roman"/>
          <w:sz w:val="22"/>
          <w:szCs w:val="22"/>
        </w:rPr>
      </w:pPr>
    </w:p>
    <w:p w14:paraId="105E12A5" w14:textId="2E5008DC" w:rsidR="00AC59B2" w:rsidRPr="0091490C" w:rsidRDefault="00AC59B2" w:rsidP="007A258E">
      <w:pPr>
        <w:ind w:left="284"/>
        <w:jc w:val="both"/>
        <w:rPr>
          <w:rFonts w:ascii="Times New Roman" w:hAnsi="Times New Roman"/>
          <w:sz w:val="22"/>
          <w:szCs w:val="22"/>
        </w:rPr>
      </w:pPr>
      <w:r w:rsidRPr="0091490C">
        <w:rPr>
          <w:rFonts w:ascii="Times New Roman" w:hAnsi="Times New Roman"/>
          <w:sz w:val="22"/>
          <w:szCs w:val="22"/>
        </w:rPr>
        <w:t>Com 4 (quatro) votos favoráveis.</w:t>
      </w:r>
    </w:p>
    <w:p w14:paraId="69125EF2" w14:textId="77777777" w:rsidR="00B7445A" w:rsidRPr="0091490C" w:rsidRDefault="00B7445A" w:rsidP="007A258E">
      <w:pPr>
        <w:tabs>
          <w:tab w:val="left" w:pos="1418"/>
        </w:tabs>
        <w:rPr>
          <w:rFonts w:ascii="Times New Roman" w:hAnsi="Times New Roman"/>
          <w:sz w:val="22"/>
          <w:szCs w:val="22"/>
        </w:rPr>
      </w:pPr>
    </w:p>
    <w:p w14:paraId="5552EB1B" w14:textId="0FC0C19B" w:rsidR="00B7445A" w:rsidRPr="007A258E" w:rsidRDefault="00B7445A" w:rsidP="007A258E">
      <w:pPr>
        <w:tabs>
          <w:tab w:val="left" w:pos="1418"/>
        </w:tabs>
        <w:jc w:val="center"/>
        <w:rPr>
          <w:rFonts w:ascii="Times New Roman" w:hAnsi="Times New Roman"/>
          <w:sz w:val="22"/>
          <w:szCs w:val="22"/>
        </w:rPr>
      </w:pPr>
      <w:r w:rsidRPr="0091490C">
        <w:rPr>
          <w:rFonts w:ascii="Times New Roman" w:hAnsi="Times New Roman"/>
          <w:sz w:val="22"/>
          <w:szCs w:val="22"/>
        </w:rPr>
        <w:t xml:space="preserve">Porto Alegre/RS, </w:t>
      </w:r>
      <w:r w:rsidR="00911F76" w:rsidRPr="0091490C">
        <w:rPr>
          <w:rFonts w:ascii="Times New Roman" w:hAnsi="Times New Roman"/>
          <w:sz w:val="22"/>
          <w:szCs w:val="22"/>
        </w:rPr>
        <w:t xml:space="preserve">29 de </w:t>
      </w:r>
      <w:r w:rsidR="0091490C" w:rsidRPr="0091490C">
        <w:rPr>
          <w:rFonts w:ascii="Times New Roman" w:hAnsi="Times New Roman"/>
          <w:sz w:val="22"/>
          <w:szCs w:val="22"/>
        </w:rPr>
        <w:t xml:space="preserve">novembro </w:t>
      </w:r>
      <w:r w:rsidR="00911F76" w:rsidRPr="0091490C">
        <w:rPr>
          <w:rFonts w:ascii="Times New Roman" w:hAnsi="Times New Roman"/>
          <w:sz w:val="22"/>
          <w:szCs w:val="22"/>
        </w:rPr>
        <w:t>de 2018</w:t>
      </w:r>
      <w:r w:rsidR="005F1195" w:rsidRPr="0091490C">
        <w:rPr>
          <w:rFonts w:ascii="Times New Roman" w:hAnsi="Times New Roman"/>
          <w:sz w:val="22"/>
          <w:szCs w:val="22"/>
        </w:rPr>
        <w:t>.</w:t>
      </w:r>
    </w:p>
    <w:p w14:paraId="791140B9" w14:textId="77777777" w:rsidR="00AC59B2" w:rsidRPr="00D36921" w:rsidRDefault="00AC59B2" w:rsidP="007A258E">
      <w:pPr>
        <w:tabs>
          <w:tab w:val="left" w:pos="1418"/>
        </w:tabs>
        <w:jc w:val="center"/>
        <w:rPr>
          <w:rFonts w:ascii="Times New Roman" w:hAnsi="Times New Roman"/>
          <w:sz w:val="22"/>
          <w:szCs w:val="22"/>
        </w:rPr>
      </w:pPr>
    </w:p>
    <w:p w14:paraId="531D6D00" w14:textId="77777777" w:rsidR="00F1105B" w:rsidRPr="00D36921" w:rsidRDefault="00F1105B" w:rsidP="007A258E">
      <w:pPr>
        <w:tabs>
          <w:tab w:val="left" w:pos="1418"/>
        </w:tabs>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D36921" w:rsidRPr="00D36921" w14:paraId="1E0AB71D" w14:textId="77777777" w:rsidTr="005C4BA9">
        <w:tc>
          <w:tcPr>
            <w:tcW w:w="4721" w:type="dxa"/>
            <w:shd w:val="clear" w:color="auto" w:fill="auto"/>
          </w:tcPr>
          <w:p w14:paraId="0544C551" w14:textId="548D2AC4" w:rsidR="00773AE0" w:rsidRPr="00D36921" w:rsidRDefault="00AF2743" w:rsidP="007A258E">
            <w:pPr>
              <w:tabs>
                <w:tab w:val="left" w:pos="1418"/>
              </w:tabs>
              <w:rPr>
                <w:rFonts w:ascii="Times New Roman" w:hAnsi="Times New Roman"/>
                <w:sz w:val="22"/>
                <w:szCs w:val="22"/>
              </w:rPr>
            </w:pPr>
            <w:r w:rsidRPr="00D36921">
              <w:rPr>
                <w:rFonts w:ascii="Times New Roman" w:hAnsi="Times New Roman"/>
                <w:b/>
                <w:sz w:val="22"/>
                <w:szCs w:val="22"/>
              </w:rPr>
              <w:t>ORITZ ADRIANO ADAMS DE CAMPOS</w:t>
            </w:r>
          </w:p>
          <w:p w14:paraId="3A527829" w14:textId="77777777" w:rsidR="00773AE0" w:rsidRPr="00D36921" w:rsidRDefault="00773AE0" w:rsidP="007A258E">
            <w:pPr>
              <w:tabs>
                <w:tab w:val="left" w:pos="1418"/>
              </w:tabs>
              <w:rPr>
                <w:rFonts w:ascii="Times New Roman" w:hAnsi="Times New Roman"/>
                <w:b/>
                <w:sz w:val="22"/>
                <w:szCs w:val="22"/>
              </w:rPr>
            </w:pPr>
            <w:r w:rsidRPr="00D36921">
              <w:rPr>
                <w:rFonts w:ascii="Times New Roman" w:hAnsi="Times New Roman"/>
                <w:sz w:val="22"/>
                <w:szCs w:val="22"/>
              </w:rPr>
              <w:t xml:space="preserve">Coordenador </w:t>
            </w:r>
          </w:p>
        </w:tc>
        <w:tc>
          <w:tcPr>
            <w:tcW w:w="4176" w:type="dxa"/>
            <w:shd w:val="clear" w:color="auto" w:fill="auto"/>
          </w:tcPr>
          <w:p w14:paraId="08D89E88" w14:textId="77777777" w:rsidR="00773AE0" w:rsidRPr="00D36921" w:rsidRDefault="00773AE0" w:rsidP="007A258E">
            <w:pPr>
              <w:tabs>
                <w:tab w:val="left" w:pos="1418"/>
              </w:tabs>
              <w:rPr>
                <w:rFonts w:ascii="Times New Roman" w:hAnsi="Times New Roman"/>
                <w:b/>
                <w:sz w:val="22"/>
                <w:szCs w:val="22"/>
              </w:rPr>
            </w:pPr>
            <w:r w:rsidRPr="00D36921">
              <w:rPr>
                <w:rFonts w:ascii="Times New Roman" w:hAnsi="Times New Roman"/>
                <w:b/>
                <w:sz w:val="22"/>
                <w:szCs w:val="22"/>
              </w:rPr>
              <w:t>____________________________________</w:t>
            </w:r>
          </w:p>
          <w:p w14:paraId="79466E84" w14:textId="77777777" w:rsidR="00773AE0" w:rsidRPr="00D36921" w:rsidRDefault="00773AE0" w:rsidP="007A258E">
            <w:pPr>
              <w:tabs>
                <w:tab w:val="left" w:pos="1418"/>
              </w:tabs>
              <w:rPr>
                <w:rFonts w:ascii="Times New Roman" w:hAnsi="Times New Roman"/>
                <w:b/>
                <w:sz w:val="22"/>
                <w:szCs w:val="22"/>
              </w:rPr>
            </w:pPr>
          </w:p>
        </w:tc>
      </w:tr>
      <w:tr w:rsidR="00D36921" w:rsidRPr="00D36921" w14:paraId="6937A632" w14:textId="77777777" w:rsidTr="005C4BA9">
        <w:tc>
          <w:tcPr>
            <w:tcW w:w="4721" w:type="dxa"/>
            <w:shd w:val="clear" w:color="auto" w:fill="auto"/>
          </w:tcPr>
          <w:p w14:paraId="66154592" w14:textId="2EFDE34F" w:rsidR="00AF2743" w:rsidRPr="00D36921" w:rsidRDefault="00AF2743" w:rsidP="007A258E">
            <w:pPr>
              <w:tabs>
                <w:tab w:val="left" w:pos="1418"/>
              </w:tabs>
              <w:rPr>
                <w:rFonts w:ascii="Times New Roman" w:hAnsi="Times New Roman"/>
                <w:b/>
                <w:sz w:val="22"/>
                <w:szCs w:val="22"/>
              </w:rPr>
            </w:pPr>
            <w:r w:rsidRPr="00D36921">
              <w:rPr>
                <w:rFonts w:ascii="Times New Roman" w:hAnsi="Times New Roman"/>
                <w:b/>
                <w:sz w:val="22"/>
                <w:szCs w:val="22"/>
              </w:rPr>
              <w:t>HELENICE MACEDO DO COUTO</w:t>
            </w:r>
          </w:p>
          <w:p w14:paraId="04A7606F" w14:textId="591AEAAC" w:rsidR="00773AE0" w:rsidRPr="00D36921" w:rsidRDefault="00773AE0" w:rsidP="007A258E">
            <w:pPr>
              <w:tabs>
                <w:tab w:val="left" w:pos="1418"/>
              </w:tabs>
              <w:rPr>
                <w:rFonts w:ascii="Times New Roman" w:hAnsi="Times New Roman"/>
                <w:b/>
                <w:sz w:val="22"/>
                <w:szCs w:val="22"/>
              </w:rPr>
            </w:pPr>
            <w:r w:rsidRPr="00D36921">
              <w:rPr>
                <w:rFonts w:ascii="Times New Roman" w:hAnsi="Times New Roman"/>
                <w:sz w:val="22"/>
                <w:szCs w:val="22"/>
              </w:rPr>
              <w:t xml:space="preserve">Coordenadora Adjunta </w:t>
            </w:r>
          </w:p>
        </w:tc>
        <w:tc>
          <w:tcPr>
            <w:tcW w:w="4176" w:type="dxa"/>
            <w:shd w:val="clear" w:color="auto" w:fill="auto"/>
          </w:tcPr>
          <w:p w14:paraId="242B2937" w14:textId="77777777" w:rsidR="00773AE0" w:rsidRPr="00D36921" w:rsidRDefault="00773AE0" w:rsidP="007A258E">
            <w:pPr>
              <w:tabs>
                <w:tab w:val="left" w:pos="1418"/>
              </w:tabs>
              <w:rPr>
                <w:rFonts w:ascii="Times New Roman" w:hAnsi="Times New Roman"/>
                <w:b/>
                <w:sz w:val="22"/>
                <w:szCs w:val="22"/>
              </w:rPr>
            </w:pPr>
            <w:r w:rsidRPr="00D36921">
              <w:rPr>
                <w:rFonts w:ascii="Times New Roman" w:hAnsi="Times New Roman"/>
                <w:b/>
                <w:sz w:val="22"/>
                <w:szCs w:val="22"/>
              </w:rPr>
              <w:t>____________________________________</w:t>
            </w:r>
          </w:p>
          <w:p w14:paraId="26D8E0E0" w14:textId="77777777" w:rsidR="00773AE0" w:rsidRPr="00D36921" w:rsidRDefault="00773AE0" w:rsidP="007A258E">
            <w:pPr>
              <w:tabs>
                <w:tab w:val="left" w:pos="1418"/>
              </w:tabs>
              <w:rPr>
                <w:rFonts w:ascii="Times New Roman" w:hAnsi="Times New Roman"/>
                <w:b/>
                <w:sz w:val="22"/>
                <w:szCs w:val="22"/>
              </w:rPr>
            </w:pPr>
          </w:p>
        </w:tc>
      </w:tr>
      <w:tr w:rsidR="00D36921" w:rsidRPr="00D36921" w14:paraId="204C5F25" w14:textId="77777777" w:rsidTr="005C4BA9">
        <w:tc>
          <w:tcPr>
            <w:tcW w:w="4721" w:type="dxa"/>
            <w:shd w:val="clear" w:color="auto" w:fill="auto"/>
          </w:tcPr>
          <w:p w14:paraId="34348B8C" w14:textId="1A5BD55D" w:rsidR="00AF2743" w:rsidRPr="00D36921" w:rsidRDefault="00AF2743" w:rsidP="007A258E">
            <w:pPr>
              <w:tabs>
                <w:tab w:val="left" w:pos="1418"/>
              </w:tabs>
              <w:rPr>
                <w:rFonts w:ascii="Times New Roman" w:hAnsi="Times New Roman"/>
                <w:b/>
                <w:sz w:val="22"/>
                <w:szCs w:val="22"/>
              </w:rPr>
            </w:pPr>
            <w:r w:rsidRPr="00D36921">
              <w:rPr>
                <w:rFonts w:ascii="Times New Roman" w:hAnsi="Times New Roman"/>
                <w:b/>
                <w:sz w:val="22"/>
                <w:szCs w:val="22"/>
              </w:rPr>
              <w:t>MATIAS REVELLO VAZQUEZ</w:t>
            </w:r>
          </w:p>
          <w:p w14:paraId="08D36013" w14:textId="5EDA434A" w:rsidR="00773AE0" w:rsidRPr="00D36921" w:rsidRDefault="00773AE0" w:rsidP="007A258E">
            <w:pPr>
              <w:tabs>
                <w:tab w:val="left" w:pos="1418"/>
              </w:tabs>
              <w:rPr>
                <w:rFonts w:ascii="Times New Roman" w:hAnsi="Times New Roman"/>
                <w:b/>
                <w:sz w:val="22"/>
                <w:szCs w:val="22"/>
              </w:rPr>
            </w:pPr>
            <w:r w:rsidRPr="00D36921">
              <w:rPr>
                <w:rFonts w:ascii="Times New Roman" w:hAnsi="Times New Roman"/>
                <w:sz w:val="22"/>
                <w:szCs w:val="22"/>
              </w:rPr>
              <w:t xml:space="preserve">Membro </w:t>
            </w:r>
          </w:p>
        </w:tc>
        <w:tc>
          <w:tcPr>
            <w:tcW w:w="4176" w:type="dxa"/>
            <w:shd w:val="clear" w:color="auto" w:fill="auto"/>
          </w:tcPr>
          <w:p w14:paraId="30196782" w14:textId="77777777" w:rsidR="00773AE0" w:rsidRPr="00D36921" w:rsidRDefault="00773AE0" w:rsidP="007A258E">
            <w:pPr>
              <w:tabs>
                <w:tab w:val="left" w:pos="1418"/>
              </w:tabs>
              <w:rPr>
                <w:rFonts w:ascii="Times New Roman" w:hAnsi="Times New Roman"/>
                <w:b/>
                <w:sz w:val="22"/>
                <w:szCs w:val="22"/>
              </w:rPr>
            </w:pPr>
            <w:r w:rsidRPr="00D36921">
              <w:rPr>
                <w:rFonts w:ascii="Times New Roman" w:hAnsi="Times New Roman"/>
                <w:b/>
                <w:sz w:val="22"/>
                <w:szCs w:val="22"/>
              </w:rPr>
              <w:t>____________________________________</w:t>
            </w:r>
          </w:p>
          <w:p w14:paraId="59A4BF51" w14:textId="77777777" w:rsidR="00773AE0" w:rsidRPr="00D36921" w:rsidRDefault="00773AE0" w:rsidP="007A258E">
            <w:pPr>
              <w:tabs>
                <w:tab w:val="left" w:pos="1418"/>
              </w:tabs>
              <w:rPr>
                <w:rFonts w:ascii="Times New Roman" w:hAnsi="Times New Roman"/>
                <w:b/>
                <w:sz w:val="22"/>
                <w:szCs w:val="22"/>
              </w:rPr>
            </w:pPr>
          </w:p>
        </w:tc>
      </w:tr>
      <w:tr w:rsidR="00D36921" w:rsidRPr="00D36921" w14:paraId="4EFD185C" w14:textId="77777777" w:rsidTr="005C4BA9">
        <w:tc>
          <w:tcPr>
            <w:tcW w:w="4721" w:type="dxa"/>
            <w:shd w:val="clear" w:color="auto" w:fill="auto"/>
          </w:tcPr>
          <w:p w14:paraId="2CEAC451" w14:textId="77777777" w:rsidR="00773AE0" w:rsidRPr="00D36921" w:rsidRDefault="00773AE0" w:rsidP="007A258E">
            <w:pPr>
              <w:tabs>
                <w:tab w:val="left" w:pos="1418"/>
              </w:tabs>
              <w:rPr>
                <w:rFonts w:ascii="Times New Roman" w:hAnsi="Times New Roman"/>
                <w:sz w:val="22"/>
                <w:szCs w:val="22"/>
              </w:rPr>
            </w:pPr>
            <w:r w:rsidRPr="00D36921">
              <w:rPr>
                <w:rFonts w:ascii="Times New Roman" w:hAnsi="Times New Roman"/>
                <w:b/>
                <w:sz w:val="22"/>
                <w:szCs w:val="22"/>
              </w:rPr>
              <w:t>ROBERTO LUIZ DECÓ</w:t>
            </w:r>
          </w:p>
          <w:p w14:paraId="457A21E8" w14:textId="77777777" w:rsidR="00773AE0" w:rsidRPr="00D36921" w:rsidRDefault="00773AE0" w:rsidP="007A258E">
            <w:pPr>
              <w:tabs>
                <w:tab w:val="left" w:pos="1418"/>
              </w:tabs>
              <w:rPr>
                <w:rFonts w:ascii="Times New Roman" w:hAnsi="Times New Roman"/>
                <w:b/>
                <w:sz w:val="22"/>
                <w:szCs w:val="22"/>
              </w:rPr>
            </w:pPr>
            <w:r w:rsidRPr="00D36921">
              <w:rPr>
                <w:rFonts w:ascii="Times New Roman" w:hAnsi="Times New Roman"/>
                <w:sz w:val="22"/>
                <w:szCs w:val="22"/>
              </w:rPr>
              <w:t>Membro</w:t>
            </w:r>
          </w:p>
        </w:tc>
        <w:tc>
          <w:tcPr>
            <w:tcW w:w="4176" w:type="dxa"/>
            <w:shd w:val="clear" w:color="auto" w:fill="auto"/>
          </w:tcPr>
          <w:p w14:paraId="797389E2" w14:textId="77777777" w:rsidR="00773AE0" w:rsidRPr="00D36921" w:rsidRDefault="00773AE0" w:rsidP="007A258E">
            <w:pPr>
              <w:tabs>
                <w:tab w:val="left" w:pos="1418"/>
              </w:tabs>
              <w:rPr>
                <w:rFonts w:ascii="Times New Roman" w:hAnsi="Times New Roman"/>
                <w:b/>
                <w:sz w:val="22"/>
                <w:szCs w:val="22"/>
              </w:rPr>
            </w:pPr>
            <w:r w:rsidRPr="00D36921">
              <w:rPr>
                <w:rFonts w:ascii="Times New Roman" w:hAnsi="Times New Roman"/>
                <w:b/>
                <w:sz w:val="22"/>
                <w:szCs w:val="22"/>
              </w:rPr>
              <w:t>____________________________________</w:t>
            </w:r>
          </w:p>
          <w:p w14:paraId="607DA3AD" w14:textId="77777777" w:rsidR="00773AE0" w:rsidRPr="00D36921" w:rsidRDefault="00773AE0" w:rsidP="007A258E">
            <w:pPr>
              <w:tabs>
                <w:tab w:val="left" w:pos="1418"/>
              </w:tabs>
              <w:rPr>
                <w:rFonts w:ascii="Times New Roman" w:hAnsi="Times New Roman"/>
                <w:b/>
                <w:sz w:val="22"/>
                <w:szCs w:val="22"/>
              </w:rPr>
            </w:pPr>
          </w:p>
        </w:tc>
      </w:tr>
      <w:tr w:rsidR="00D36921" w:rsidRPr="00D36921" w14:paraId="13B51BB7" w14:textId="77777777" w:rsidTr="005C4BA9">
        <w:tc>
          <w:tcPr>
            <w:tcW w:w="4721" w:type="dxa"/>
            <w:shd w:val="clear" w:color="auto" w:fill="auto"/>
          </w:tcPr>
          <w:p w14:paraId="650121C7" w14:textId="29229F47" w:rsidR="00AF2743" w:rsidRPr="00D36921" w:rsidRDefault="00AF2743" w:rsidP="007A258E">
            <w:pPr>
              <w:tabs>
                <w:tab w:val="left" w:pos="1418"/>
              </w:tabs>
              <w:rPr>
                <w:rFonts w:ascii="Times New Roman" w:hAnsi="Times New Roman"/>
                <w:b/>
                <w:sz w:val="22"/>
                <w:szCs w:val="22"/>
              </w:rPr>
            </w:pPr>
            <w:r w:rsidRPr="00D36921">
              <w:rPr>
                <w:rFonts w:ascii="Times New Roman" w:hAnsi="Times New Roman"/>
                <w:b/>
                <w:sz w:val="22"/>
                <w:szCs w:val="22"/>
              </w:rPr>
              <w:t>EVELISE JAIME DE MENEZES</w:t>
            </w:r>
          </w:p>
          <w:p w14:paraId="31FDED23" w14:textId="7DD9553E" w:rsidR="00773AE0" w:rsidRPr="00D36921" w:rsidRDefault="00AF2743" w:rsidP="007A258E">
            <w:pPr>
              <w:tabs>
                <w:tab w:val="left" w:pos="1418"/>
              </w:tabs>
              <w:rPr>
                <w:rFonts w:ascii="Times New Roman" w:hAnsi="Times New Roman"/>
                <w:sz w:val="22"/>
                <w:szCs w:val="22"/>
              </w:rPr>
            </w:pPr>
            <w:r w:rsidRPr="00D36921">
              <w:rPr>
                <w:rFonts w:ascii="Times New Roman" w:hAnsi="Times New Roman"/>
                <w:sz w:val="22"/>
                <w:szCs w:val="22"/>
              </w:rPr>
              <w:t>Suplente</w:t>
            </w:r>
          </w:p>
        </w:tc>
        <w:tc>
          <w:tcPr>
            <w:tcW w:w="4176" w:type="dxa"/>
            <w:shd w:val="clear" w:color="auto" w:fill="auto"/>
          </w:tcPr>
          <w:p w14:paraId="757F3838" w14:textId="77777777" w:rsidR="00773AE0" w:rsidRPr="00D36921" w:rsidRDefault="00773AE0" w:rsidP="007A258E">
            <w:pPr>
              <w:tabs>
                <w:tab w:val="left" w:pos="1418"/>
              </w:tabs>
              <w:rPr>
                <w:rFonts w:ascii="Times New Roman" w:hAnsi="Times New Roman"/>
                <w:b/>
                <w:sz w:val="22"/>
                <w:szCs w:val="22"/>
              </w:rPr>
            </w:pPr>
            <w:r w:rsidRPr="00D36921">
              <w:rPr>
                <w:rFonts w:ascii="Times New Roman" w:hAnsi="Times New Roman"/>
                <w:b/>
                <w:sz w:val="22"/>
                <w:szCs w:val="22"/>
              </w:rPr>
              <w:t>____________________________________</w:t>
            </w:r>
          </w:p>
          <w:p w14:paraId="2C9CBAC0" w14:textId="77777777" w:rsidR="00773AE0" w:rsidRPr="00D36921" w:rsidRDefault="00773AE0" w:rsidP="007A258E">
            <w:pPr>
              <w:tabs>
                <w:tab w:val="left" w:pos="1418"/>
              </w:tabs>
              <w:rPr>
                <w:rFonts w:ascii="Times New Roman" w:hAnsi="Times New Roman"/>
                <w:b/>
                <w:sz w:val="22"/>
                <w:szCs w:val="22"/>
              </w:rPr>
            </w:pPr>
          </w:p>
        </w:tc>
      </w:tr>
      <w:tr w:rsidR="00D36921" w:rsidRPr="00D36921" w14:paraId="23837132" w14:textId="77777777" w:rsidTr="005C4BA9">
        <w:tc>
          <w:tcPr>
            <w:tcW w:w="4721" w:type="dxa"/>
            <w:shd w:val="clear" w:color="auto" w:fill="auto"/>
          </w:tcPr>
          <w:p w14:paraId="25F4E54B" w14:textId="6A5A8934" w:rsidR="00773AE0" w:rsidRPr="00D36921" w:rsidRDefault="00AF2743" w:rsidP="007A258E">
            <w:pPr>
              <w:tabs>
                <w:tab w:val="left" w:pos="1418"/>
              </w:tabs>
              <w:rPr>
                <w:rFonts w:ascii="Times New Roman" w:hAnsi="Times New Roman"/>
                <w:sz w:val="22"/>
                <w:szCs w:val="22"/>
              </w:rPr>
            </w:pPr>
            <w:r w:rsidRPr="00D36921">
              <w:rPr>
                <w:rFonts w:ascii="Times New Roman" w:hAnsi="Times New Roman"/>
                <w:b/>
                <w:sz w:val="22"/>
                <w:szCs w:val="22"/>
              </w:rPr>
              <w:t>MARISA POTTER</w:t>
            </w:r>
          </w:p>
          <w:p w14:paraId="3F0D2F5C" w14:textId="77777777" w:rsidR="00773AE0" w:rsidRPr="00D36921" w:rsidRDefault="00773AE0" w:rsidP="007A258E">
            <w:pPr>
              <w:tabs>
                <w:tab w:val="left" w:pos="1418"/>
              </w:tabs>
              <w:rPr>
                <w:rFonts w:ascii="Times New Roman" w:hAnsi="Times New Roman"/>
                <w:b/>
                <w:sz w:val="22"/>
                <w:szCs w:val="22"/>
              </w:rPr>
            </w:pPr>
            <w:r w:rsidRPr="00D36921">
              <w:rPr>
                <w:rFonts w:ascii="Times New Roman" w:hAnsi="Times New Roman"/>
                <w:sz w:val="22"/>
                <w:szCs w:val="22"/>
              </w:rPr>
              <w:t>Suplente</w:t>
            </w:r>
          </w:p>
        </w:tc>
        <w:tc>
          <w:tcPr>
            <w:tcW w:w="4176" w:type="dxa"/>
            <w:shd w:val="clear" w:color="auto" w:fill="auto"/>
          </w:tcPr>
          <w:p w14:paraId="77DEB057" w14:textId="77777777" w:rsidR="00773AE0" w:rsidRPr="00D36921" w:rsidRDefault="00773AE0" w:rsidP="007A258E">
            <w:pPr>
              <w:tabs>
                <w:tab w:val="left" w:pos="1418"/>
              </w:tabs>
              <w:rPr>
                <w:rFonts w:ascii="Times New Roman" w:hAnsi="Times New Roman"/>
                <w:b/>
                <w:sz w:val="22"/>
                <w:szCs w:val="22"/>
              </w:rPr>
            </w:pPr>
            <w:r w:rsidRPr="00D36921">
              <w:rPr>
                <w:rFonts w:ascii="Times New Roman" w:hAnsi="Times New Roman"/>
                <w:b/>
                <w:sz w:val="22"/>
                <w:szCs w:val="22"/>
              </w:rPr>
              <w:t>____________________________________</w:t>
            </w:r>
          </w:p>
          <w:p w14:paraId="351FE43B" w14:textId="77777777" w:rsidR="00773AE0" w:rsidRPr="00D36921" w:rsidRDefault="00773AE0" w:rsidP="007A258E">
            <w:pPr>
              <w:tabs>
                <w:tab w:val="left" w:pos="1418"/>
              </w:tabs>
              <w:rPr>
                <w:rFonts w:ascii="Times New Roman" w:hAnsi="Times New Roman"/>
                <w:b/>
                <w:sz w:val="22"/>
                <w:szCs w:val="22"/>
              </w:rPr>
            </w:pPr>
          </w:p>
        </w:tc>
      </w:tr>
      <w:tr w:rsidR="00D36921" w:rsidRPr="00D36921" w14:paraId="6483B3F5" w14:textId="77777777" w:rsidTr="005C4BA9">
        <w:tc>
          <w:tcPr>
            <w:tcW w:w="4721" w:type="dxa"/>
            <w:shd w:val="clear" w:color="auto" w:fill="auto"/>
          </w:tcPr>
          <w:p w14:paraId="049A42C4" w14:textId="1617A49C" w:rsidR="00773AE0" w:rsidRPr="00D36921" w:rsidRDefault="00AF2743" w:rsidP="007A258E">
            <w:pPr>
              <w:tabs>
                <w:tab w:val="left" w:pos="1418"/>
              </w:tabs>
              <w:rPr>
                <w:rFonts w:ascii="Times New Roman" w:hAnsi="Times New Roman"/>
                <w:sz w:val="22"/>
                <w:szCs w:val="22"/>
              </w:rPr>
            </w:pPr>
            <w:r w:rsidRPr="00D36921">
              <w:rPr>
                <w:rFonts w:ascii="Times New Roman" w:hAnsi="Times New Roman"/>
                <w:b/>
                <w:sz w:val="22"/>
                <w:szCs w:val="22"/>
              </w:rPr>
              <w:t>BERNARDO HENRIQUE GEHLEN</w:t>
            </w:r>
          </w:p>
          <w:p w14:paraId="2D000423" w14:textId="77777777" w:rsidR="00773AE0" w:rsidRPr="00D36921" w:rsidRDefault="00773AE0" w:rsidP="007A258E">
            <w:pPr>
              <w:tabs>
                <w:tab w:val="left" w:pos="1418"/>
              </w:tabs>
              <w:rPr>
                <w:rFonts w:ascii="Times New Roman" w:hAnsi="Times New Roman"/>
                <w:b/>
                <w:sz w:val="22"/>
                <w:szCs w:val="22"/>
              </w:rPr>
            </w:pPr>
            <w:r w:rsidRPr="00D36921">
              <w:rPr>
                <w:rFonts w:ascii="Times New Roman" w:hAnsi="Times New Roman"/>
                <w:sz w:val="22"/>
                <w:szCs w:val="22"/>
              </w:rPr>
              <w:t xml:space="preserve">Suplente </w:t>
            </w:r>
          </w:p>
        </w:tc>
        <w:tc>
          <w:tcPr>
            <w:tcW w:w="4176" w:type="dxa"/>
            <w:shd w:val="clear" w:color="auto" w:fill="auto"/>
          </w:tcPr>
          <w:p w14:paraId="74AB8F9F" w14:textId="77777777" w:rsidR="00773AE0" w:rsidRPr="00D36921" w:rsidRDefault="00773AE0" w:rsidP="007A258E">
            <w:pPr>
              <w:tabs>
                <w:tab w:val="left" w:pos="1418"/>
              </w:tabs>
              <w:rPr>
                <w:rFonts w:ascii="Times New Roman" w:hAnsi="Times New Roman"/>
                <w:b/>
                <w:sz w:val="22"/>
                <w:szCs w:val="22"/>
              </w:rPr>
            </w:pPr>
            <w:r w:rsidRPr="00D36921">
              <w:rPr>
                <w:rFonts w:ascii="Times New Roman" w:hAnsi="Times New Roman"/>
                <w:b/>
                <w:sz w:val="22"/>
                <w:szCs w:val="22"/>
              </w:rPr>
              <w:t>____________________________________</w:t>
            </w:r>
          </w:p>
          <w:p w14:paraId="74B1CFF4" w14:textId="77777777" w:rsidR="00773AE0" w:rsidRPr="00D36921" w:rsidRDefault="00773AE0" w:rsidP="007A258E">
            <w:pPr>
              <w:tabs>
                <w:tab w:val="left" w:pos="1418"/>
              </w:tabs>
              <w:rPr>
                <w:rFonts w:ascii="Times New Roman" w:hAnsi="Times New Roman"/>
                <w:b/>
                <w:sz w:val="22"/>
                <w:szCs w:val="22"/>
              </w:rPr>
            </w:pPr>
          </w:p>
        </w:tc>
      </w:tr>
      <w:tr w:rsidR="00D36921" w:rsidRPr="00D36921" w14:paraId="35EC532E" w14:textId="77777777" w:rsidTr="005C4BA9">
        <w:tc>
          <w:tcPr>
            <w:tcW w:w="4721" w:type="dxa"/>
            <w:shd w:val="clear" w:color="auto" w:fill="auto"/>
          </w:tcPr>
          <w:p w14:paraId="2B9BA2A2" w14:textId="7C1C22D2" w:rsidR="00773AE0" w:rsidRPr="00D36921" w:rsidRDefault="00AF2743" w:rsidP="007A258E">
            <w:pPr>
              <w:tabs>
                <w:tab w:val="left" w:pos="1418"/>
              </w:tabs>
              <w:rPr>
                <w:rFonts w:ascii="Times New Roman" w:hAnsi="Times New Roman"/>
                <w:sz w:val="22"/>
                <w:szCs w:val="22"/>
              </w:rPr>
            </w:pPr>
            <w:r w:rsidRPr="00D36921">
              <w:rPr>
                <w:rFonts w:ascii="Times New Roman" w:hAnsi="Times New Roman"/>
                <w:b/>
                <w:sz w:val="22"/>
                <w:szCs w:val="22"/>
              </w:rPr>
              <w:t>MARCIA ELIZABETH MARTINS</w:t>
            </w:r>
          </w:p>
          <w:p w14:paraId="0CBAF885" w14:textId="77777777" w:rsidR="00773AE0" w:rsidRPr="00D36921" w:rsidRDefault="00773AE0" w:rsidP="007A258E">
            <w:pPr>
              <w:tabs>
                <w:tab w:val="left" w:pos="1418"/>
              </w:tabs>
              <w:rPr>
                <w:rFonts w:ascii="Times New Roman" w:hAnsi="Times New Roman"/>
                <w:sz w:val="22"/>
                <w:szCs w:val="22"/>
              </w:rPr>
            </w:pPr>
            <w:r w:rsidRPr="00D36921">
              <w:rPr>
                <w:rFonts w:ascii="Times New Roman" w:hAnsi="Times New Roman"/>
                <w:sz w:val="22"/>
                <w:szCs w:val="22"/>
              </w:rPr>
              <w:t xml:space="preserve">Suplente </w:t>
            </w:r>
          </w:p>
        </w:tc>
        <w:tc>
          <w:tcPr>
            <w:tcW w:w="4176" w:type="dxa"/>
            <w:shd w:val="clear" w:color="auto" w:fill="auto"/>
          </w:tcPr>
          <w:p w14:paraId="7BDCCDB8" w14:textId="77777777" w:rsidR="00773AE0" w:rsidRPr="00D36921" w:rsidRDefault="00773AE0" w:rsidP="007A258E">
            <w:pPr>
              <w:tabs>
                <w:tab w:val="left" w:pos="1418"/>
              </w:tabs>
              <w:rPr>
                <w:rFonts w:ascii="Times New Roman" w:hAnsi="Times New Roman"/>
                <w:b/>
                <w:sz w:val="22"/>
                <w:szCs w:val="22"/>
              </w:rPr>
            </w:pPr>
            <w:r w:rsidRPr="00D36921">
              <w:rPr>
                <w:rFonts w:ascii="Times New Roman" w:hAnsi="Times New Roman"/>
                <w:b/>
                <w:sz w:val="22"/>
                <w:szCs w:val="22"/>
              </w:rPr>
              <w:t>____________________________________</w:t>
            </w:r>
          </w:p>
          <w:p w14:paraId="60CD1004" w14:textId="77777777" w:rsidR="00773AE0" w:rsidRPr="00D36921" w:rsidRDefault="00773AE0" w:rsidP="007A258E">
            <w:pPr>
              <w:tabs>
                <w:tab w:val="left" w:pos="1418"/>
              </w:tabs>
              <w:rPr>
                <w:rFonts w:ascii="Times New Roman" w:hAnsi="Times New Roman"/>
                <w:b/>
                <w:sz w:val="22"/>
                <w:szCs w:val="22"/>
              </w:rPr>
            </w:pPr>
          </w:p>
        </w:tc>
      </w:tr>
    </w:tbl>
    <w:p w14:paraId="76C642F6" w14:textId="77777777" w:rsidR="00335FB6" w:rsidRPr="00D36921" w:rsidRDefault="00335FB6" w:rsidP="007A258E">
      <w:pPr>
        <w:tabs>
          <w:tab w:val="left" w:pos="1418"/>
        </w:tabs>
        <w:jc w:val="both"/>
        <w:rPr>
          <w:rFonts w:ascii="Times New Roman" w:hAnsi="Times New Roman"/>
          <w:sz w:val="22"/>
          <w:szCs w:val="22"/>
        </w:rPr>
      </w:pPr>
    </w:p>
    <w:sectPr w:rsidR="00335FB6" w:rsidRPr="00D36921" w:rsidSect="00F1105B">
      <w:headerReference w:type="even" r:id="rId8"/>
      <w:headerReference w:type="default" r:id="rId9"/>
      <w:footerReference w:type="even" r:id="rId10"/>
      <w:footerReference w:type="default" r:id="rId11"/>
      <w:headerReference w:type="first" r:id="rId12"/>
      <w:footerReference w:type="first" r:id="rId13"/>
      <w:pgSz w:w="11900" w:h="16840"/>
      <w:pgMar w:top="1985" w:right="851" w:bottom="85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E214F" w14:textId="77777777" w:rsidR="002A2E6C" w:rsidRDefault="002A2E6C" w:rsidP="004C3048">
      <w:r>
        <w:separator/>
      </w:r>
    </w:p>
  </w:endnote>
  <w:endnote w:type="continuationSeparator" w:id="0">
    <w:p w14:paraId="10F401D8" w14:textId="77777777" w:rsidR="002A2E6C" w:rsidRDefault="002A2E6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AFE9" w14:textId="77777777"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13937349" w14:textId="77777777"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4DA24" w14:textId="77777777" w:rsidR="00E1458F" w:rsidRPr="0093154B" w:rsidRDefault="00E1458F" w:rsidP="00E1458F">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0C1738B" w14:textId="4013384A" w:rsidR="00E1458F" w:rsidRPr="003F1946" w:rsidRDefault="00E1458F" w:rsidP="00E1458F">
    <w:pPr>
      <w:pStyle w:val="Rodap"/>
      <w:ind w:left="-567"/>
      <w:jc w:val="center"/>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
  <w:p w14:paraId="687A5484" w14:textId="77777777" w:rsidR="00E1458F" w:rsidRPr="003F1946" w:rsidRDefault="00E1458F" w:rsidP="00E1458F">
    <w:pPr>
      <w:pStyle w:val="Rodap"/>
      <w:ind w:left="-567"/>
      <w:jc w:val="center"/>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B9E22" w14:textId="77777777" w:rsidR="00FC6A2F" w:rsidRPr="0093154B" w:rsidRDefault="00FC6A2F" w:rsidP="0038552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A2E31FB" w14:textId="3C63449A" w:rsidR="005B4B10" w:rsidRPr="003F1946" w:rsidRDefault="00FC6A2F" w:rsidP="00E1458F">
    <w:pPr>
      <w:pStyle w:val="Rodap"/>
      <w:ind w:left="-567"/>
      <w:jc w:val="center"/>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p>
  <w:p w14:paraId="4940236E" w14:textId="77777777" w:rsidR="00FC6A2F" w:rsidRPr="003F1946" w:rsidRDefault="00FC6A2F" w:rsidP="00E1458F">
    <w:pPr>
      <w:pStyle w:val="Rodap"/>
      <w:ind w:left="-567"/>
      <w:jc w:val="center"/>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D9F98" w14:textId="77777777" w:rsidR="002A2E6C" w:rsidRDefault="002A2E6C" w:rsidP="004C3048">
      <w:r>
        <w:separator/>
      </w:r>
    </w:p>
  </w:footnote>
  <w:footnote w:type="continuationSeparator" w:id="0">
    <w:p w14:paraId="365FFC58" w14:textId="77777777" w:rsidR="002A2E6C" w:rsidRDefault="002A2E6C" w:rsidP="004C3048">
      <w:r>
        <w:continuationSeparator/>
      </w:r>
    </w:p>
  </w:footnote>
  <w:footnote w:id="1">
    <w:p w14:paraId="6398991A" w14:textId="22F537B6" w:rsidR="000C1BED" w:rsidRPr="000C1BED" w:rsidRDefault="000C1BED" w:rsidP="000C1BED">
      <w:pPr>
        <w:pStyle w:val="Textodenotaderodap"/>
        <w:jc w:val="both"/>
        <w:rPr>
          <w:rFonts w:ascii="Times New Roman" w:hAnsi="Times New Roman"/>
          <w:sz w:val="18"/>
          <w:szCs w:val="18"/>
        </w:rPr>
      </w:pPr>
      <w:r w:rsidRPr="000C1BED">
        <w:rPr>
          <w:rStyle w:val="Refdenotaderodap"/>
          <w:rFonts w:ascii="Times New Roman" w:hAnsi="Times New Roman"/>
          <w:sz w:val="18"/>
          <w:szCs w:val="18"/>
        </w:rPr>
        <w:footnoteRef/>
      </w:r>
      <w:r w:rsidRPr="000C1BED">
        <w:rPr>
          <w:rFonts w:ascii="Times New Roman" w:hAnsi="Times New Roman"/>
          <w:sz w:val="18"/>
          <w:szCs w:val="18"/>
        </w:rPr>
        <w:t xml:space="preserve"> Nota Jurídica nº 4/AJ-GCR/2016, de 05 de maio de 2016, emitida pela Assessoria Jurídica do CAU/BR a pedido da CEP-CAU/BR por meio do protocolo SICCAU 326671/2016</w:t>
      </w:r>
      <w:r>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E4B82" w14:textId="77777777"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199C4C16" wp14:editId="1C1FA643">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053A09A6" wp14:editId="1E90C65A">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18431" w14:textId="77777777" w:rsidR="00974359" w:rsidRPr="009E4E5A" w:rsidRDefault="00974359" w:rsidP="00E1458F">
    <w:pPr>
      <w:pStyle w:val="Cabealho"/>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3162225" wp14:editId="7328A8CD">
          <wp:simplePos x="0" y="0"/>
          <wp:positionH relativeFrom="column">
            <wp:posOffset>-1082004</wp:posOffset>
          </wp:positionH>
          <wp:positionV relativeFrom="paragraph">
            <wp:posOffset>-848563</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347C5" w14:textId="77777777" w:rsidR="00974359" w:rsidRDefault="00974359">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9E0A59F" wp14:editId="3A3ECD5B">
          <wp:simplePos x="0" y="0"/>
          <wp:positionH relativeFrom="column">
            <wp:posOffset>-1089660</wp:posOffset>
          </wp:positionH>
          <wp:positionV relativeFrom="paragraph">
            <wp:posOffset>-736013</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5ED7"/>
    <w:multiLevelType w:val="hybridMultilevel"/>
    <w:tmpl w:val="C93A6EC6"/>
    <w:lvl w:ilvl="0" w:tplc="A40C10A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1E765AE8"/>
    <w:multiLevelType w:val="multilevel"/>
    <w:tmpl w:val="509004E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BB16E24"/>
    <w:multiLevelType w:val="hybridMultilevel"/>
    <w:tmpl w:val="791C84A8"/>
    <w:lvl w:ilvl="0" w:tplc="913AEF5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9C0290D"/>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577FED"/>
    <w:multiLevelType w:val="hybridMultilevel"/>
    <w:tmpl w:val="E3E088E0"/>
    <w:lvl w:ilvl="0" w:tplc="F30E12C8">
      <w:start w:val="1"/>
      <w:numFmt w:val="lowerLetter"/>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3DCB49FC"/>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C21DA1"/>
    <w:multiLevelType w:val="hybridMultilevel"/>
    <w:tmpl w:val="42D65C80"/>
    <w:lvl w:ilvl="0" w:tplc="676287E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844516"/>
    <w:multiLevelType w:val="hybridMultilevel"/>
    <w:tmpl w:val="791C84A8"/>
    <w:lvl w:ilvl="0" w:tplc="913AEF5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3D33FA"/>
    <w:multiLevelType w:val="hybridMultilevel"/>
    <w:tmpl w:val="791C84A8"/>
    <w:lvl w:ilvl="0" w:tplc="913AEF5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0F33DC7"/>
    <w:multiLevelType w:val="hybridMultilevel"/>
    <w:tmpl w:val="531CB12E"/>
    <w:lvl w:ilvl="0" w:tplc="A40C10A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EC86D2B"/>
    <w:multiLevelType w:val="multilevel"/>
    <w:tmpl w:val="51688A78"/>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A018A6"/>
    <w:multiLevelType w:val="hybridMultilevel"/>
    <w:tmpl w:val="614AE768"/>
    <w:lvl w:ilvl="0" w:tplc="1A14E804">
      <w:start w:val="1"/>
      <w:numFmt w:val="lowerLetter"/>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799052FF"/>
    <w:multiLevelType w:val="hybridMultilevel"/>
    <w:tmpl w:val="FE50D1DA"/>
    <w:lvl w:ilvl="0" w:tplc="EDF692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9"/>
  </w:num>
  <w:num w:numId="4">
    <w:abstractNumId w:val="5"/>
  </w:num>
  <w:num w:numId="5">
    <w:abstractNumId w:val="11"/>
  </w:num>
  <w:num w:numId="6">
    <w:abstractNumId w:val="18"/>
  </w:num>
  <w:num w:numId="7">
    <w:abstractNumId w:val="15"/>
  </w:num>
  <w:num w:numId="8">
    <w:abstractNumId w:val="10"/>
  </w:num>
  <w:num w:numId="9">
    <w:abstractNumId w:val="7"/>
  </w:num>
  <w:num w:numId="10">
    <w:abstractNumId w:val="17"/>
  </w:num>
  <w:num w:numId="11">
    <w:abstractNumId w:val="4"/>
  </w:num>
  <w:num w:numId="12">
    <w:abstractNumId w:val="13"/>
  </w:num>
  <w:num w:numId="13">
    <w:abstractNumId w:val="0"/>
  </w:num>
  <w:num w:numId="14">
    <w:abstractNumId w:val="1"/>
  </w:num>
  <w:num w:numId="15">
    <w:abstractNumId w:val="6"/>
  </w:num>
  <w:num w:numId="16">
    <w:abstractNumId w:val="3"/>
  </w:num>
  <w:num w:numId="17">
    <w:abstractNumId w:val="12"/>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145F6"/>
    <w:rsid w:val="0003493C"/>
    <w:rsid w:val="00040A86"/>
    <w:rsid w:val="000425B3"/>
    <w:rsid w:val="000446DF"/>
    <w:rsid w:val="00051685"/>
    <w:rsid w:val="000527E4"/>
    <w:rsid w:val="00053C0D"/>
    <w:rsid w:val="00056D36"/>
    <w:rsid w:val="000605F6"/>
    <w:rsid w:val="00062599"/>
    <w:rsid w:val="00065201"/>
    <w:rsid w:val="00066ED7"/>
    <w:rsid w:val="00067264"/>
    <w:rsid w:val="0007419F"/>
    <w:rsid w:val="000743AE"/>
    <w:rsid w:val="00074B57"/>
    <w:rsid w:val="00094D18"/>
    <w:rsid w:val="000A5675"/>
    <w:rsid w:val="000B3648"/>
    <w:rsid w:val="000B5810"/>
    <w:rsid w:val="000C0AE1"/>
    <w:rsid w:val="000C1A24"/>
    <w:rsid w:val="000C1BED"/>
    <w:rsid w:val="000C3500"/>
    <w:rsid w:val="000C567D"/>
    <w:rsid w:val="000D3E3E"/>
    <w:rsid w:val="000D5BC9"/>
    <w:rsid w:val="000E0909"/>
    <w:rsid w:val="000E2009"/>
    <w:rsid w:val="000E266B"/>
    <w:rsid w:val="000F339D"/>
    <w:rsid w:val="000F6357"/>
    <w:rsid w:val="0010374D"/>
    <w:rsid w:val="00110662"/>
    <w:rsid w:val="001159AE"/>
    <w:rsid w:val="00117EDD"/>
    <w:rsid w:val="00120938"/>
    <w:rsid w:val="00127C77"/>
    <w:rsid w:val="00131702"/>
    <w:rsid w:val="00133AD2"/>
    <w:rsid w:val="00134206"/>
    <w:rsid w:val="001429F6"/>
    <w:rsid w:val="00144010"/>
    <w:rsid w:val="0015105C"/>
    <w:rsid w:val="001516FC"/>
    <w:rsid w:val="00151962"/>
    <w:rsid w:val="00157198"/>
    <w:rsid w:val="00163A5E"/>
    <w:rsid w:val="00170CA0"/>
    <w:rsid w:val="00171176"/>
    <w:rsid w:val="00174A5A"/>
    <w:rsid w:val="001778C5"/>
    <w:rsid w:val="00180FB9"/>
    <w:rsid w:val="00186A1D"/>
    <w:rsid w:val="001930F4"/>
    <w:rsid w:val="001B5148"/>
    <w:rsid w:val="001B5F62"/>
    <w:rsid w:val="001C2A80"/>
    <w:rsid w:val="001D7861"/>
    <w:rsid w:val="001E56D2"/>
    <w:rsid w:val="001F1070"/>
    <w:rsid w:val="001F61E5"/>
    <w:rsid w:val="00220A16"/>
    <w:rsid w:val="00221551"/>
    <w:rsid w:val="00230AC0"/>
    <w:rsid w:val="00236679"/>
    <w:rsid w:val="0025277E"/>
    <w:rsid w:val="002534FC"/>
    <w:rsid w:val="0025576D"/>
    <w:rsid w:val="00280F33"/>
    <w:rsid w:val="00285657"/>
    <w:rsid w:val="00285A83"/>
    <w:rsid w:val="00295FD5"/>
    <w:rsid w:val="002974CF"/>
    <w:rsid w:val="002A2E6C"/>
    <w:rsid w:val="002A7C5E"/>
    <w:rsid w:val="002B5CA4"/>
    <w:rsid w:val="002B776B"/>
    <w:rsid w:val="002C2F42"/>
    <w:rsid w:val="002D4361"/>
    <w:rsid w:val="002E293E"/>
    <w:rsid w:val="002F2AD1"/>
    <w:rsid w:val="002F517F"/>
    <w:rsid w:val="00305DCB"/>
    <w:rsid w:val="00306127"/>
    <w:rsid w:val="00311134"/>
    <w:rsid w:val="003201EF"/>
    <w:rsid w:val="00320980"/>
    <w:rsid w:val="00323C90"/>
    <w:rsid w:val="003278C4"/>
    <w:rsid w:val="003310D3"/>
    <w:rsid w:val="00335FB6"/>
    <w:rsid w:val="003411BA"/>
    <w:rsid w:val="00346298"/>
    <w:rsid w:val="00347324"/>
    <w:rsid w:val="003557D1"/>
    <w:rsid w:val="00360A08"/>
    <w:rsid w:val="00370D12"/>
    <w:rsid w:val="00381B13"/>
    <w:rsid w:val="00383F38"/>
    <w:rsid w:val="0038513D"/>
    <w:rsid w:val="00385523"/>
    <w:rsid w:val="003858EB"/>
    <w:rsid w:val="003945A8"/>
    <w:rsid w:val="003A2EA8"/>
    <w:rsid w:val="003A699B"/>
    <w:rsid w:val="003C3C3A"/>
    <w:rsid w:val="003C484E"/>
    <w:rsid w:val="003D260B"/>
    <w:rsid w:val="003E7C17"/>
    <w:rsid w:val="003F1246"/>
    <w:rsid w:val="003F1946"/>
    <w:rsid w:val="003F5088"/>
    <w:rsid w:val="00406644"/>
    <w:rsid w:val="00410566"/>
    <w:rsid w:val="0041185B"/>
    <w:rsid w:val="004123FC"/>
    <w:rsid w:val="00416653"/>
    <w:rsid w:val="00416DB8"/>
    <w:rsid w:val="00425A19"/>
    <w:rsid w:val="00426466"/>
    <w:rsid w:val="004273E5"/>
    <w:rsid w:val="00433DE0"/>
    <w:rsid w:val="004355BD"/>
    <w:rsid w:val="00447C6C"/>
    <w:rsid w:val="0045013B"/>
    <w:rsid w:val="00453128"/>
    <w:rsid w:val="0045487E"/>
    <w:rsid w:val="0046050C"/>
    <w:rsid w:val="0046207D"/>
    <w:rsid w:val="00471056"/>
    <w:rsid w:val="00472BB3"/>
    <w:rsid w:val="00481C0B"/>
    <w:rsid w:val="00483414"/>
    <w:rsid w:val="004914E2"/>
    <w:rsid w:val="004A525E"/>
    <w:rsid w:val="004B3023"/>
    <w:rsid w:val="004B3EB7"/>
    <w:rsid w:val="004B5A5C"/>
    <w:rsid w:val="004C3048"/>
    <w:rsid w:val="004D0257"/>
    <w:rsid w:val="004D75DA"/>
    <w:rsid w:val="004E062B"/>
    <w:rsid w:val="004E1C67"/>
    <w:rsid w:val="004F15C8"/>
    <w:rsid w:val="004F2A63"/>
    <w:rsid w:val="005112D1"/>
    <w:rsid w:val="0053240A"/>
    <w:rsid w:val="005429E8"/>
    <w:rsid w:val="005461A2"/>
    <w:rsid w:val="00550C66"/>
    <w:rsid w:val="00552AF8"/>
    <w:rsid w:val="005615DC"/>
    <w:rsid w:val="00564054"/>
    <w:rsid w:val="00564179"/>
    <w:rsid w:val="00565889"/>
    <w:rsid w:val="005A6A30"/>
    <w:rsid w:val="005B4B10"/>
    <w:rsid w:val="005D2FBE"/>
    <w:rsid w:val="005D3D88"/>
    <w:rsid w:val="005E2D9F"/>
    <w:rsid w:val="005F1195"/>
    <w:rsid w:val="005F47CB"/>
    <w:rsid w:val="005F4AC2"/>
    <w:rsid w:val="005F7F85"/>
    <w:rsid w:val="00601FB6"/>
    <w:rsid w:val="00606254"/>
    <w:rsid w:val="0060634C"/>
    <w:rsid w:val="006130EF"/>
    <w:rsid w:val="00614679"/>
    <w:rsid w:val="00617301"/>
    <w:rsid w:val="006206FB"/>
    <w:rsid w:val="006326C4"/>
    <w:rsid w:val="00633BEB"/>
    <w:rsid w:val="006340C8"/>
    <w:rsid w:val="00637577"/>
    <w:rsid w:val="006475DE"/>
    <w:rsid w:val="00650B64"/>
    <w:rsid w:val="00661135"/>
    <w:rsid w:val="00662475"/>
    <w:rsid w:val="0066674D"/>
    <w:rsid w:val="006673E1"/>
    <w:rsid w:val="0067699C"/>
    <w:rsid w:val="00690C35"/>
    <w:rsid w:val="0069229F"/>
    <w:rsid w:val="00692F68"/>
    <w:rsid w:val="006A1D09"/>
    <w:rsid w:val="006B297D"/>
    <w:rsid w:val="006B670F"/>
    <w:rsid w:val="006B706C"/>
    <w:rsid w:val="006C1E5A"/>
    <w:rsid w:val="006C75E7"/>
    <w:rsid w:val="006D02E8"/>
    <w:rsid w:val="006D2981"/>
    <w:rsid w:val="006D5906"/>
    <w:rsid w:val="006D5B68"/>
    <w:rsid w:val="006F4E9B"/>
    <w:rsid w:val="006F6327"/>
    <w:rsid w:val="00700227"/>
    <w:rsid w:val="00701D10"/>
    <w:rsid w:val="0071009E"/>
    <w:rsid w:val="00717EB6"/>
    <w:rsid w:val="00723416"/>
    <w:rsid w:val="00724C4E"/>
    <w:rsid w:val="007257D4"/>
    <w:rsid w:val="00726FCB"/>
    <w:rsid w:val="00731BBD"/>
    <w:rsid w:val="007375FB"/>
    <w:rsid w:val="00737F42"/>
    <w:rsid w:val="00740E14"/>
    <w:rsid w:val="00743E6F"/>
    <w:rsid w:val="00745511"/>
    <w:rsid w:val="00745854"/>
    <w:rsid w:val="0075194D"/>
    <w:rsid w:val="007527DC"/>
    <w:rsid w:val="00756602"/>
    <w:rsid w:val="0076286B"/>
    <w:rsid w:val="00770236"/>
    <w:rsid w:val="00773313"/>
    <w:rsid w:val="00773AE0"/>
    <w:rsid w:val="00774E87"/>
    <w:rsid w:val="00776B7B"/>
    <w:rsid w:val="00793D64"/>
    <w:rsid w:val="007A258E"/>
    <w:rsid w:val="007A5CDB"/>
    <w:rsid w:val="007B7B0D"/>
    <w:rsid w:val="007B7BB9"/>
    <w:rsid w:val="007C0FB9"/>
    <w:rsid w:val="007C50BE"/>
    <w:rsid w:val="007C795B"/>
    <w:rsid w:val="007D41F0"/>
    <w:rsid w:val="007F7FB9"/>
    <w:rsid w:val="008029EC"/>
    <w:rsid w:val="00805FC1"/>
    <w:rsid w:val="00820E0F"/>
    <w:rsid w:val="0082317A"/>
    <w:rsid w:val="00823E35"/>
    <w:rsid w:val="008309BC"/>
    <w:rsid w:val="00831D80"/>
    <w:rsid w:val="00835E1C"/>
    <w:rsid w:val="00840D65"/>
    <w:rsid w:val="008438C9"/>
    <w:rsid w:val="008451B4"/>
    <w:rsid w:val="00845205"/>
    <w:rsid w:val="00847568"/>
    <w:rsid w:val="00854C77"/>
    <w:rsid w:val="00855321"/>
    <w:rsid w:val="008558AB"/>
    <w:rsid w:val="00855F16"/>
    <w:rsid w:val="0086709B"/>
    <w:rsid w:val="00874A65"/>
    <w:rsid w:val="00880428"/>
    <w:rsid w:val="0089072B"/>
    <w:rsid w:val="00890C7F"/>
    <w:rsid w:val="008A078D"/>
    <w:rsid w:val="008A5800"/>
    <w:rsid w:val="008B4C75"/>
    <w:rsid w:val="008D1945"/>
    <w:rsid w:val="008D4752"/>
    <w:rsid w:val="008E0D36"/>
    <w:rsid w:val="008E1728"/>
    <w:rsid w:val="008E535B"/>
    <w:rsid w:val="008F159C"/>
    <w:rsid w:val="008F3E61"/>
    <w:rsid w:val="00901239"/>
    <w:rsid w:val="00910FBE"/>
    <w:rsid w:val="00911F76"/>
    <w:rsid w:val="0091490C"/>
    <w:rsid w:val="009269BD"/>
    <w:rsid w:val="00930D3C"/>
    <w:rsid w:val="0093154B"/>
    <w:rsid w:val="009347B2"/>
    <w:rsid w:val="00936739"/>
    <w:rsid w:val="0094772A"/>
    <w:rsid w:val="009643CB"/>
    <w:rsid w:val="00974359"/>
    <w:rsid w:val="0097441D"/>
    <w:rsid w:val="009745F2"/>
    <w:rsid w:val="0098732F"/>
    <w:rsid w:val="00991241"/>
    <w:rsid w:val="009912A2"/>
    <w:rsid w:val="009A1507"/>
    <w:rsid w:val="009A62E8"/>
    <w:rsid w:val="009B5DB8"/>
    <w:rsid w:val="009C581F"/>
    <w:rsid w:val="009D0886"/>
    <w:rsid w:val="009D141D"/>
    <w:rsid w:val="009D6B72"/>
    <w:rsid w:val="009D7C9B"/>
    <w:rsid w:val="009E11D7"/>
    <w:rsid w:val="009E78C0"/>
    <w:rsid w:val="00A050DB"/>
    <w:rsid w:val="00A40ECC"/>
    <w:rsid w:val="00A43C37"/>
    <w:rsid w:val="00A54FEE"/>
    <w:rsid w:val="00A5515C"/>
    <w:rsid w:val="00A565FE"/>
    <w:rsid w:val="00A570C2"/>
    <w:rsid w:val="00A62383"/>
    <w:rsid w:val="00A75F86"/>
    <w:rsid w:val="00A80C65"/>
    <w:rsid w:val="00A83107"/>
    <w:rsid w:val="00A90AFF"/>
    <w:rsid w:val="00AA0853"/>
    <w:rsid w:val="00AA1241"/>
    <w:rsid w:val="00AA2552"/>
    <w:rsid w:val="00AB5837"/>
    <w:rsid w:val="00AC59B2"/>
    <w:rsid w:val="00AD19F1"/>
    <w:rsid w:val="00AD52C5"/>
    <w:rsid w:val="00AE2654"/>
    <w:rsid w:val="00AE31D6"/>
    <w:rsid w:val="00AE56F4"/>
    <w:rsid w:val="00AF2743"/>
    <w:rsid w:val="00AF368E"/>
    <w:rsid w:val="00B129F6"/>
    <w:rsid w:val="00B1451A"/>
    <w:rsid w:val="00B15D4F"/>
    <w:rsid w:val="00B21812"/>
    <w:rsid w:val="00B22BA4"/>
    <w:rsid w:val="00B2348E"/>
    <w:rsid w:val="00B23E93"/>
    <w:rsid w:val="00B309B7"/>
    <w:rsid w:val="00B3403B"/>
    <w:rsid w:val="00B41AB9"/>
    <w:rsid w:val="00B45033"/>
    <w:rsid w:val="00B56E41"/>
    <w:rsid w:val="00B6066A"/>
    <w:rsid w:val="00B63C2E"/>
    <w:rsid w:val="00B658F2"/>
    <w:rsid w:val="00B73A02"/>
    <w:rsid w:val="00B7445A"/>
    <w:rsid w:val="00B77A77"/>
    <w:rsid w:val="00B80091"/>
    <w:rsid w:val="00B81197"/>
    <w:rsid w:val="00B92C1F"/>
    <w:rsid w:val="00BB5E13"/>
    <w:rsid w:val="00BC73B6"/>
    <w:rsid w:val="00BD30B5"/>
    <w:rsid w:val="00BF27AF"/>
    <w:rsid w:val="00C038EA"/>
    <w:rsid w:val="00C06057"/>
    <w:rsid w:val="00C15B9D"/>
    <w:rsid w:val="00C247D1"/>
    <w:rsid w:val="00C301CA"/>
    <w:rsid w:val="00C3665F"/>
    <w:rsid w:val="00C37B13"/>
    <w:rsid w:val="00C42605"/>
    <w:rsid w:val="00C4339D"/>
    <w:rsid w:val="00C45812"/>
    <w:rsid w:val="00C47AE3"/>
    <w:rsid w:val="00C50876"/>
    <w:rsid w:val="00C529E5"/>
    <w:rsid w:val="00C537F4"/>
    <w:rsid w:val="00C646F3"/>
    <w:rsid w:val="00C70AD4"/>
    <w:rsid w:val="00C72981"/>
    <w:rsid w:val="00C72C38"/>
    <w:rsid w:val="00C760ED"/>
    <w:rsid w:val="00C86244"/>
    <w:rsid w:val="00CC5EB2"/>
    <w:rsid w:val="00CD0E69"/>
    <w:rsid w:val="00CD56EE"/>
    <w:rsid w:val="00CE4E08"/>
    <w:rsid w:val="00CF2FBA"/>
    <w:rsid w:val="00CF4D54"/>
    <w:rsid w:val="00D072FB"/>
    <w:rsid w:val="00D13750"/>
    <w:rsid w:val="00D14578"/>
    <w:rsid w:val="00D17A9A"/>
    <w:rsid w:val="00D24E51"/>
    <w:rsid w:val="00D30E6A"/>
    <w:rsid w:val="00D32E81"/>
    <w:rsid w:val="00D36921"/>
    <w:rsid w:val="00D41836"/>
    <w:rsid w:val="00D43467"/>
    <w:rsid w:val="00D44933"/>
    <w:rsid w:val="00D477D7"/>
    <w:rsid w:val="00D62C61"/>
    <w:rsid w:val="00D66921"/>
    <w:rsid w:val="00D67932"/>
    <w:rsid w:val="00D67B4E"/>
    <w:rsid w:val="00D802D9"/>
    <w:rsid w:val="00D9535A"/>
    <w:rsid w:val="00D971A5"/>
    <w:rsid w:val="00D97226"/>
    <w:rsid w:val="00DA1042"/>
    <w:rsid w:val="00DB4045"/>
    <w:rsid w:val="00DC1A3D"/>
    <w:rsid w:val="00DC401A"/>
    <w:rsid w:val="00DC60A2"/>
    <w:rsid w:val="00DD09A6"/>
    <w:rsid w:val="00DD16FB"/>
    <w:rsid w:val="00DD3815"/>
    <w:rsid w:val="00DE67B2"/>
    <w:rsid w:val="00DE7470"/>
    <w:rsid w:val="00DF2B5B"/>
    <w:rsid w:val="00DF5EA1"/>
    <w:rsid w:val="00E00DCA"/>
    <w:rsid w:val="00E0487E"/>
    <w:rsid w:val="00E12EC2"/>
    <w:rsid w:val="00E1458F"/>
    <w:rsid w:val="00E22ADE"/>
    <w:rsid w:val="00E22AF6"/>
    <w:rsid w:val="00E22EDD"/>
    <w:rsid w:val="00E24521"/>
    <w:rsid w:val="00E31CC4"/>
    <w:rsid w:val="00E3663E"/>
    <w:rsid w:val="00E36BBD"/>
    <w:rsid w:val="00E408E2"/>
    <w:rsid w:val="00E42BBF"/>
    <w:rsid w:val="00E4300F"/>
    <w:rsid w:val="00E47A74"/>
    <w:rsid w:val="00E50591"/>
    <w:rsid w:val="00E62B3E"/>
    <w:rsid w:val="00E662FF"/>
    <w:rsid w:val="00E663BC"/>
    <w:rsid w:val="00E71C0D"/>
    <w:rsid w:val="00E71CB9"/>
    <w:rsid w:val="00E72A88"/>
    <w:rsid w:val="00E76C90"/>
    <w:rsid w:val="00E81D69"/>
    <w:rsid w:val="00E82A83"/>
    <w:rsid w:val="00E87EAC"/>
    <w:rsid w:val="00E9324D"/>
    <w:rsid w:val="00EA3B14"/>
    <w:rsid w:val="00EA593B"/>
    <w:rsid w:val="00EB1D18"/>
    <w:rsid w:val="00EB2C98"/>
    <w:rsid w:val="00EB4AC7"/>
    <w:rsid w:val="00EB556E"/>
    <w:rsid w:val="00EC14D9"/>
    <w:rsid w:val="00ED2108"/>
    <w:rsid w:val="00ED6C95"/>
    <w:rsid w:val="00EE6DD1"/>
    <w:rsid w:val="00EF66F6"/>
    <w:rsid w:val="00F00BA3"/>
    <w:rsid w:val="00F106E3"/>
    <w:rsid w:val="00F1105B"/>
    <w:rsid w:val="00F11D97"/>
    <w:rsid w:val="00F1200E"/>
    <w:rsid w:val="00F16768"/>
    <w:rsid w:val="00F2295D"/>
    <w:rsid w:val="00F2300F"/>
    <w:rsid w:val="00F271D7"/>
    <w:rsid w:val="00F312AD"/>
    <w:rsid w:val="00F34C54"/>
    <w:rsid w:val="00F50FDC"/>
    <w:rsid w:val="00F515DE"/>
    <w:rsid w:val="00F5430B"/>
    <w:rsid w:val="00F55E0C"/>
    <w:rsid w:val="00F62212"/>
    <w:rsid w:val="00F65D74"/>
    <w:rsid w:val="00F6645F"/>
    <w:rsid w:val="00F740FB"/>
    <w:rsid w:val="00F75B85"/>
    <w:rsid w:val="00F815BC"/>
    <w:rsid w:val="00F93C49"/>
    <w:rsid w:val="00FA2F4E"/>
    <w:rsid w:val="00FA7E79"/>
    <w:rsid w:val="00FB372F"/>
    <w:rsid w:val="00FB73D0"/>
    <w:rsid w:val="00FC6A2F"/>
    <w:rsid w:val="00FC73FB"/>
    <w:rsid w:val="00FE305A"/>
    <w:rsid w:val="00FF1677"/>
    <w:rsid w:val="00FF7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A1C16E"/>
  <w15:docId w15:val="{72412CAA-4C56-47FD-9447-06FFB63D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1930F4"/>
    <w:rPr>
      <w:sz w:val="16"/>
      <w:szCs w:val="16"/>
    </w:rPr>
  </w:style>
  <w:style w:type="paragraph" w:styleId="Textodecomentrio">
    <w:name w:val="annotation text"/>
    <w:basedOn w:val="Normal"/>
    <w:link w:val="TextodecomentrioChar"/>
    <w:uiPriority w:val="99"/>
    <w:unhideWhenUsed/>
    <w:rsid w:val="001930F4"/>
    <w:rPr>
      <w:sz w:val="20"/>
      <w:szCs w:val="20"/>
    </w:rPr>
  </w:style>
  <w:style w:type="character" w:customStyle="1" w:styleId="TextodecomentrioChar">
    <w:name w:val="Texto de comentário Char"/>
    <w:basedOn w:val="Fontepargpadro"/>
    <w:link w:val="Textodecomentrio"/>
    <w:uiPriority w:val="99"/>
    <w:rsid w:val="001930F4"/>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930F4"/>
    <w:rPr>
      <w:b/>
      <w:bCs/>
    </w:rPr>
  </w:style>
  <w:style w:type="character" w:customStyle="1" w:styleId="AssuntodocomentrioChar">
    <w:name w:val="Assunto do comentário Char"/>
    <w:basedOn w:val="TextodecomentrioChar"/>
    <w:link w:val="Assuntodocomentrio"/>
    <w:uiPriority w:val="99"/>
    <w:semiHidden/>
    <w:rsid w:val="001930F4"/>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0E230-20DD-410B-A1AB-75DD4954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1895</Words>
  <Characters>10235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Raquel Dias Coll Oliveira</cp:lastModifiedBy>
  <cp:revision>26</cp:revision>
  <cp:lastPrinted>2016-11-09T18:46:00Z</cp:lastPrinted>
  <dcterms:created xsi:type="dcterms:W3CDTF">2018-11-09T18:48:00Z</dcterms:created>
  <dcterms:modified xsi:type="dcterms:W3CDTF">2018-11-29T12:28:00Z</dcterms:modified>
</cp:coreProperties>
</file>