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7F" w:rsidRPr="00B27D7F" w:rsidRDefault="00BE22F0" w:rsidP="00B27D7F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DELIBERAÇÃO Nº </w:t>
      </w:r>
      <w:r w:rsidR="00A978C9">
        <w:rPr>
          <w:rFonts w:asciiTheme="majorHAnsi" w:hAnsiTheme="majorHAnsi"/>
          <w:b/>
          <w:sz w:val="24"/>
          <w:szCs w:val="24"/>
          <w:u w:val="single"/>
        </w:rPr>
        <w:t>184</w:t>
      </w:r>
      <w:r w:rsidR="00B27D7F" w:rsidRPr="00B27D7F">
        <w:rPr>
          <w:rFonts w:asciiTheme="majorHAnsi" w:hAnsiTheme="majorHAnsi"/>
          <w:b/>
          <w:sz w:val="24"/>
          <w:szCs w:val="24"/>
          <w:u w:val="single"/>
        </w:rPr>
        <w:t>/2015 – CEP-CAU/RS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Pr="003B69FC" w:rsidRDefault="003919C7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Orienta</w:t>
      </w:r>
      <w:r w:rsidR="008C1394">
        <w:rPr>
          <w:rFonts w:asciiTheme="majorHAnsi" w:hAnsiTheme="majorHAnsi"/>
          <w:i/>
          <w:sz w:val="22"/>
          <w:szCs w:val="22"/>
        </w:rPr>
        <w:t xml:space="preserve"> sobre </w:t>
      </w:r>
      <w:r w:rsidR="00BE22F0">
        <w:rPr>
          <w:rFonts w:asciiTheme="majorHAnsi" w:hAnsiTheme="majorHAnsi"/>
          <w:i/>
          <w:sz w:val="22"/>
          <w:szCs w:val="22"/>
        </w:rPr>
        <w:t>as atividades da CNAE que deverão ser observadas pelos agentes de fiscalização no sentido de notificar pessoas jurídicas a apresentar registro no CAU/RS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. 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CA32C5" w:rsidRDefault="00CA32C5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E22F0" w:rsidRPr="00BE22F0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  <w:r w:rsidRPr="00BE22F0">
        <w:rPr>
          <w:rFonts w:asciiTheme="majorHAnsi" w:hAnsiTheme="majorHAnsi"/>
          <w:sz w:val="24"/>
          <w:szCs w:val="24"/>
        </w:rPr>
        <w:t>Considerando a Classificação Nacional de Atividades Econômicas (CNAE), divulgada pela Resolução nº 1/2006 da Comissão Nacional de Classificação (CONCLA);</w:t>
      </w:r>
    </w:p>
    <w:p w:rsidR="00BE22F0" w:rsidRPr="00BE22F0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  <w:r w:rsidRPr="00BE22F0">
        <w:rPr>
          <w:rFonts w:asciiTheme="majorHAnsi" w:hAnsiTheme="majorHAnsi"/>
          <w:sz w:val="24"/>
          <w:szCs w:val="24"/>
        </w:rPr>
        <w:tab/>
      </w:r>
    </w:p>
    <w:p w:rsidR="00BE22F0" w:rsidRPr="00BE22F0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  <w:r w:rsidRPr="00BE22F0">
        <w:rPr>
          <w:rFonts w:asciiTheme="majorHAnsi" w:hAnsiTheme="majorHAnsi"/>
          <w:sz w:val="24"/>
          <w:szCs w:val="24"/>
        </w:rPr>
        <w:t>Considerando que o Comprovante de Inscrição e de Situação Cadastral da Receita Federal Brasileira relaciona atividades econômicas de pessoa de natureza jurídica com base na CNAE;</w:t>
      </w:r>
    </w:p>
    <w:p w:rsidR="00BE22F0" w:rsidRPr="00BE22F0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E22F0" w:rsidRPr="00BE22F0" w:rsidRDefault="00A978C9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Considerando que o </w:t>
      </w:r>
      <w:r w:rsidR="00BE22F0" w:rsidRPr="00BE22F0">
        <w:rPr>
          <w:rFonts w:asciiTheme="majorHAnsi" w:hAnsiTheme="majorHAnsi"/>
          <w:sz w:val="24"/>
          <w:szCs w:val="24"/>
        </w:rPr>
        <w:t>Comprovante de Inscrição e de Situação Cadastral da Receita Federal Brasileira é um importante instrumento de identificação do potencial exercício de atividades afetas à Arquitetura e Urbanismo po</w:t>
      </w:r>
      <w:r w:rsidR="00800D85">
        <w:rPr>
          <w:rFonts w:asciiTheme="majorHAnsi" w:hAnsiTheme="majorHAnsi"/>
          <w:sz w:val="24"/>
          <w:szCs w:val="24"/>
        </w:rPr>
        <w:t>r pessoas de natureza jurídica;</w:t>
      </w:r>
    </w:p>
    <w:p w:rsidR="00BE22F0" w:rsidRPr="00BE22F0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A69F8" w:rsidRDefault="00BE22F0" w:rsidP="00BE22F0">
      <w:pPr>
        <w:ind w:firstLine="1134"/>
        <w:jc w:val="both"/>
        <w:rPr>
          <w:rFonts w:asciiTheme="majorHAnsi" w:hAnsiTheme="majorHAnsi"/>
          <w:sz w:val="24"/>
          <w:szCs w:val="24"/>
        </w:rPr>
      </w:pPr>
      <w:r w:rsidRPr="00BE22F0">
        <w:rPr>
          <w:rFonts w:asciiTheme="majorHAnsi" w:hAnsiTheme="majorHAnsi"/>
          <w:sz w:val="24"/>
          <w:szCs w:val="24"/>
        </w:rPr>
        <w:t>Considerando que a Resolução nº 21/2012 do CAU/BR, que dispõe sobre as atividades e atribuições profissionais do arquiteto e urbanista, em seu artigo 3º, lista atividades para fins de Registro de Responsabilidade Técnica (RRT) que não apresentam rel</w:t>
      </w:r>
      <w:r w:rsidR="0034569F">
        <w:rPr>
          <w:rFonts w:asciiTheme="majorHAnsi" w:hAnsiTheme="majorHAnsi"/>
          <w:sz w:val="24"/>
          <w:szCs w:val="24"/>
        </w:rPr>
        <w:t>ação de equivalência com a CNAE</w:t>
      </w:r>
      <w:r w:rsidR="00800D85">
        <w:rPr>
          <w:rFonts w:asciiTheme="majorHAnsi" w:hAnsiTheme="majorHAnsi"/>
          <w:sz w:val="24"/>
          <w:szCs w:val="24"/>
        </w:rPr>
        <w:t xml:space="preserve">; </w:t>
      </w:r>
      <w:proofErr w:type="gramStart"/>
      <w:r w:rsidR="00800D85">
        <w:rPr>
          <w:rFonts w:asciiTheme="majorHAnsi" w:hAnsiTheme="majorHAnsi"/>
          <w:sz w:val="24"/>
          <w:szCs w:val="24"/>
        </w:rPr>
        <w:t>e</w:t>
      </w:r>
      <w:proofErr w:type="gramEnd"/>
    </w:p>
    <w:p w:rsidR="003919C7" w:rsidRDefault="003919C7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4569F" w:rsidRDefault="0034569F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Considerando as atividades da CNAE elencadas pela Unidade de Fiscalização</w:t>
      </w:r>
      <w:r w:rsidR="00800D85">
        <w:rPr>
          <w:rFonts w:asciiTheme="majorHAnsi" w:hAnsiTheme="majorHAnsi"/>
          <w:sz w:val="24"/>
          <w:szCs w:val="24"/>
        </w:rPr>
        <w:t>.</w:t>
      </w:r>
    </w:p>
    <w:p w:rsidR="00800D85" w:rsidRDefault="00800D85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4569F" w:rsidRDefault="00212964" w:rsidP="00800D85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B218B4">
        <w:rPr>
          <w:rFonts w:asciiTheme="majorHAnsi" w:hAnsiTheme="majorHAnsi"/>
          <w:b/>
          <w:sz w:val="24"/>
          <w:szCs w:val="24"/>
        </w:rPr>
        <w:t>Comissão de Exercício Profissional do CAU/RS</w:t>
      </w:r>
      <w:r>
        <w:rPr>
          <w:rFonts w:asciiTheme="majorHAnsi" w:hAnsiTheme="majorHAnsi"/>
          <w:sz w:val="24"/>
          <w:szCs w:val="24"/>
        </w:rPr>
        <w:t xml:space="preserve">, em reunião ordinária, de acordo com o disposto no art. 2º, inciso III, alínea “b”, da Resolução nº 30 do CAU/BR, que dispõe sobre os atos administrativos de caráter decisório, e no uso de suas atribuições conferidas pelos art. 52, incisos IV e X do Regimento Interno do CAU/RS, </w:t>
      </w:r>
      <w:r w:rsidR="00E976BE">
        <w:rPr>
          <w:rFonts w:asciiTheme="majorHAnsi" w:hAnsiTheme="majorHAnsi"/>
          <w:sz w:val="24"/>
          <w:szCs w:val="24"/>
        </w:rPr>
        <w:t>DELIBERA</w:t>
      </w:r>
      <w:r w:rsidR="0034569F">
        <w:rPr>
          <w:rFonts w:asciiTheme="majorHAnsi" w:hAnsiTheme="majorHAnsi"/>
          <w:sz w:val="24"/>
          <w:szCs w:val="24"/>
        </w:rPr>
        <w:t>:</w:t>
      </w:r>
    </w:p>
    <w:p w:rsidR="00E976BE" w:rsidRDefault="00E976BE" w:rsidP="00800D85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976BE" w:rsidRPr="00E976BE" w:rsidRDefault="00E976BE" w:rsidP="00E976BE">
      <w:pPr>
        <w:pStyle w:val="PargrafodaLista"/>
        <w:numPr>
          <w:ilvl w:val="0"/>
          <w:numId w:val="4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Atividades que implicam em registro no CAU:</w:t>
      </w:r>
    </w:p>
    <w:p w:rsidR="00800D85" w:rsidRDefault="00800D85" w:rsidP="009F58AB">
      <w:pPr>
        <w:ind w:firstLine="1134"/>
        <w:jc w:val="both"/>
        <w:rPr>
          <w:rFonts w:asciiTheme="majorHAnsi" w:hAnsiTheme="majorHAnsi"/>
          <w:strike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976BE" w:rsidRPr="00A978C9" w:rsidTr="00E976BE">
        <w:tc>
          <w:tcPr>
            <w:tcW w:w="1276" w:type="dxa"/>
            <w:vAlign w:val="center"/>
          </w:tcPr>
          <w:p w:rsidR="00E976BE" w:rsidRPr="00A978C9" w:rsidRDefault="00E976BE" w:rsidP="00E976B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b/>
                <w:sz w:val="20"/>
                <w:szCs w:val="20"/>
              </w:rPr>
              <w:t>Código CNAE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34569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b/>
                <w:sz w:val="20"/>
                <w:szCs w:val="20"/>
              </w:rPr>
              <w:t>Atividade CNAE que pode ter relação com o exercício de Arquitetura e Urbanismo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1622-6/01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casas de madeira pré-fabricadas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Fabricação de estruturas pré-moldadas de concreto armado, em série e sob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encomenda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2330-3/04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casas pré-moldadas de concreto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2511-0/00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estruturas metálicas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2599-3/01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confecção de armações metálicas para a construção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4120-4/00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Construção de edifícios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4212-0/00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Construção de obras de arte especiais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4213-8/00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Obras de urbanização - ruas, praças e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calçadas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4292-8/01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Montagem de estruturas metálicas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lastRenderedPageBreak/>
              <w:t>4292-8/02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Obras de montagem industrial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4299-5/01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Construção de instalações esportivas e recreativas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4311-8/01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Demolição de edifícios e outras estruturas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4311-8/02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Preparação de canteiro e limpeza de terreno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4313-4/00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Obras de terraplenagem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4319-3/00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preparação do terreno não especificados anteriormente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4321-5/00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Instalação e manutenção elétrica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4322-3/01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Instalações hidráulicas, sanitárias e de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gás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4322-3/02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Instalação e manutenção de sistemas centrais de ar condicionado, de ventilação e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refrigeração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4322-3/03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Instalações de sistema de prevenção contra incêndio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4329-1/01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Instalação de painéis publicitários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4329-1/03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Instalação, manutenção e reparação de elevadores, escadas e esteiras rolantes, exceto de fabricação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própria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4329-1/04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Montagem e instalação de sistemas e equipamentos de iluminação e sinalização em vias públicas, portos e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aeroportos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4330-4/99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Outras obras de acabamento da construção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4391-6/00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Obras de fundações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4399-1/02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Montagem e desmontagem de andaimes e outras estruturas temporárias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4399-1/03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Obras de alvenaria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4399-1/99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especializados para construção não especificados anteriormente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7111-1/00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arquitetura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7119-7/04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perícia técnica relacionados à segurança do trabalho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7119-7/99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Atividades técnicas relacionadas à engenharia e arquitetura não especificadas anteriormente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7319-0/01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Criação e montagem de estandes para feiras e exposições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8130-3/00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Atividades paisagísticas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  <w:vAlign w:val="center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9102-3/02</w:t>
            </w:r>
          </w:p>
        </w:tc>
        <w:tc>
          <w:tcPr>
            <w:tcW w:w="7938" w:type="dxa"/>
            <w:vAlign w:val="center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Restauração e conservação de lugares e prédios históricos</w:t>
            </w:r>
          </w:p>
        </w:tc>
      </w:tr>
    </w:tbl>
    <w:p w:rsidR="00E976BE" w:rsidRPr="00E976BE" w:rsidRDefault="00E976BE" w:rsidP="00E976BE">
      <w:pPr>
        <w:ind w:left="1134"/>
        <w:jc w:val="both"/>
        <w:rPr>
          <w:rFonts w:asciiTheme="majorHAnsi" w:hAnsiTheme="majorHAnsi"/>
          <w:sz w:val="24"/>
          <w:szCs w:val="24"/>
        </w:rPr>
      </w:pPr>
    </w:p>
    <w:p w:rsidR="00CA32C5" w:rsidRDefault="00E976BE" w:rsidP="00E976BE">
      <w:pPr>
        <w:pStyle w:val="PargrafodaLista"/>
        <w:numPr>
          <w:ilvl w:val="0"/>
          <w:numId w:val="4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Atividades que </w:t>
      </w:r>
      <w:r w:rsidRPr="00E976BE">
        <w:rPr>
          <w:rFonts w:asciiTheme="majorHAnsi" w:hAnsiTheme="majorHAnsi"/>
          <w:sz w:val="24"/>
          <w:szCs w:val="24"/>
          <w:u w:val="single"/>
        </w:rPr>
        <w:t>não</w:t>
      </w:r>
      <w:r w:rsidRPr="00E976B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implicam em registro no CAU:</w:t>
      </w:r>
    </w:p>
    <w:p w:rsidR="00E976BE" w:rsidRDefault="00E976BE" w:rsidP="00E976BE">
      <w:pPr>
        <w:pStyle w:val="PargrafodaLista"/>
        <w:ind w:left="1494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976BE" w:rsidRPr="00A978C9" w:rsidTr="00E976BE">
        <w:tc>
          <w:tcPr>
            <w:tcW w:w="1276" w:type="dxa"/>
          </w:tcPr>
          <w:p w:rsidR="00E976BE" w:rsidRPr="00A978C9" w:rsidRDefault="00E976BE" w:rsidP="001A164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0" w:name="_GoBack"/>
            <w:r w:rsidRPr="00A978C9">
              <w:rPr>
                <w:rFonts w:asciiTheme="majorHAnsi" w:hAnsiTheme="majorHAnsi" w:cs="Arial"/>
                <w:b/>
                <w:sz w:val="20"/>
                <w:szCs w:val="20"/>
              </w:rPr>
              <w:t>Código CNAE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b/>
                <w:sz w:val="20"/>
                <w:szCs w:val="20"/>
              </w:rPr>
              <w:t>Atividade CNAE que pode ter relação com o exercício de Arquitetura e Urbanismo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2330-3/02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artefatos de cimento para uso na construção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2330-3/03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artefatos de fibrocimento para uso na construção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2330-3/05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Preparação de massa de concreto e argamassa para construção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2330-3/99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Fabricação de outros artefatos e produtos de concreto, cimento, fibrocimento, gesso e materiais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semelhantes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3101-2/00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móveis com predominância de madeira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3102-1/00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Fabricação de móveis com predominância de metal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3103-9/00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Fabricação de móveis de outros materiais, exceto madeira e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metal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3329-5/01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montagem de móveis de qualquer material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4110-7/00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Incorporação de empreendimentos imobiliários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4330-4/02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Instalação de portas, janelas, tetos, divisórias e armários embutidos de qualquer </w:t>
            </w:r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material</w:t>
            </w:r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4330-4/03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Obras de acabamento em gesso e estuque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4330-4/04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pintura de edifícios em geral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lastRenderedPageBreak/>
              <w:t>4330-4/05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Aplicação de revestimentos e de resinas em interiores e exteriores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4399-1/01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Administração de obras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7119-7/01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 xml:space="preserve">Serviços de cartografia, topografia e </w:t>
            </w:r>
            <w:proofErr w:type="spellStart"/>
            <w:proofErr w:type="gramStart"/>
            <w:r w:rsidRPr="00A978C9">
              <w:rPr>
                <w:rFonts w:asciiTheme="majorHAnsi" w:hAnsiTheme="majorHAnsi" w:cs="Arial"/>
                <w:sz w:val="20"/>
                <w:szCs w:val="20"/>
              </w:rPr>
              <w:t>geodésia</w:t>
            </w:r>
            <w:proofErr w:type="spellEnd"/>
            <w:proofErr w:type="gramEnd"/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7119-7/03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Serviços de desenho técnico relacionados à arquitetura e engenharia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7410-2/01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Design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7410-2/02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Decoração de interiores</w:t>
            </w:r>
          </w:p>
        </w:tc>
      </w:tr>
      <w:tr w:rsidR="00E976BE" w:rsidRPr="00A978C9" w:rsidTr="00E976BE">
        <w:trPr>
          <w:trHeight w:val="284"/>
        </w:trPr>
        <w:tc>
          <w:tcPr>
            <w:tcW w:w="1276" w:type="dxa"/>
          </w:tcPr>
          <w:p w:rsidR="00E976BE" w:rsidRPr="00A978C9" w:rsidRDefault="00E976BE" w:rsidP="00E976BE">
            <w:pPr>
              <w:spacing w:line="25" w:lineRule="atLeas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9001-9/06</w:t>
            </w:r>
          </w:p>
        </w:tc>
        <w:tc>
          <w:tcPr>
            <w:tcW w:w="7938" w:type="dxa"/>
          </w:tcPr>
          <w:p w:rsidR="00E976BE" w:rsidRPr="00A978C9" w:rsidRDefault="00E976BE" w:rsidP="001A1649">
            <w:pPr>
              <w:spacing w:line="25" w:lineRule="atLeast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78C9">
              <w:rPr>
                <w:rFonts w:asciiTheme="majorHAnsi" w:hAnsiTheme="majorHAnsi" w:cs="Arial"/>
                <w:sz w:val="20"/>
                <w:szCs w:val="20"/>
              </w:rPr>
              <w:t>Atividades de sonorização e de iluminação</w:t>
            </w:r>
          </w:p>
        </w:tc>
      </w:tr>
      <w:bookmarkEnd w:id="0"/>
    </w:tbl>
    <w:p w:rsidR="00E976BE" w:rsidRDefault="00E976BE" w:rsidP="00E976BE">
      <w:pPr>
        <w:jc w:val="both"/>
        <w:rPr>
          <w:rFonts w:asciiTheme="majorHAnsi" w:hAnsiTheme="majorHAnsi"/>
          <w:sz w:val="24"/>
          <w:szCs w:val="24"/>
        </w:rPr>
      </w:pPr>
    </w:p>
    <w:p w:rsidR="00B0337E" w:rsidRDefault="0020160F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 casos não contemplados nas atividades descritas acima serão analisados pela Comissão.</w:t>
      </w:r>
    </w:p>
    <w:p w:rsidR="0020160F" w:rsidRDefault="0020160F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20160F" w:rsidRDefault="0020160F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E21BA9">
      <w:pPr>
        <w:ind w:firstLine="113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Porto Alegre, </w:t>
      </w:r>
      <w:r w:rsidR="00E976BE">
        <w:rPr>
          <w:rFonts w:asciiTheme="majorHAnsi" w:hAnsiTheme="majorHAnsi"/>
          <w:sz w:val="24"/>
          <w:szCs w:val="24"/>
        </w:rPr>
        <w:t>01 de outubro</w:t>
      </w:r>
      <w:r>
        <w:rPr>
          <w:rFonts w:asciiTheme="majorHAnsi" w:hAnsiTheme="majorHAnsi"/>
          <w:sz w:val="24"/>
          <w:szCs w:val="24"/>
        </w:rPr>
        <w:t xml:space="preserve"> de 2015.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AF6270" w:rsidRDefault="00AF6270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21BA9" w:rsidRDefault="00E21BA9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F42F1" w:rsidRDefault="005F42F1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Pr="00820487" w:rsidRDefault="00E976BE" w:rsidP="0082048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CARLOS EDUARDO MESQUITA PEDONE</w:t>
      </w:r>
    </w:p>
    <w:p w:rsidR="00B0337E" w:rsidRPr="009F58AB" w:rsidRDefault="00DF005A" w:rsidP="005F42F1">
      <w:pPr>
        <w:jc w:val="center"/>
        <w:rPr>
          <w:rFonts w:asciiTheme="majorHAnsi" w:hAnsiTheme="majorHAnsi"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COORDENADOR</w:t>
      </w:r>
      <w:r w:rsidR="00790D18">
        <w:rPr>
          <w:rFonts w:asciiTheme="majorHAnsi" w:hAnsiTheme="majorHAnsi"/>
          <w:b/>
          <w:sz w:val="24"/>
          <w:szCs w:val="24"/>
        </w:rPr>
        <w:t xml:space="preserve"> </w:t>
      </w:r>
      <w:r w:rsidRPr="00820487">
        <w:rPr>
          <w:rFonts w:asciiTheme="majorHAnsi" w:hAnsiTheme="majorHAnsi"/>
          <w:b/>
          <w:sz w:val="24"/>
          <w:szCs w:val="24"/>
        </w:rPr>
        <w:t>CEP</w:t>
      </w:r>
      <w:r w:rsidR="00790D18">
        <w:rPr>
          <w:rFonts w:asciiTheme="majorHAnsi" w:hAnsiTheme="majorHAnsi"/>
          <w:b/>
          <w:sz w:val="24"/>
          <w:szCs w:val="24"/>
        </w:rPr>
        <w:t>-</w:t>
      </w:r>
      <w:r w:rsidRPr="00820487">
        <w:rPr>
          <w:rFonts w:asciiTheme="majorHAnsi" w:hAnsiTheme="majorHAnsi"/>
          <w:b/>
          <w:sz w:val="24"/>
          <w:szCs w:val="24"/>
        </w:rPr>
        <w:t>CAU/RS</w:t>
      </w:r>
    </w:p>
    <w:sectPr w:rsidR="00B0337E" w:rsidRPr="009F58AB" w:rsidSect="00790D1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239" w:right="1134" w:bottom="1702" w:left="1418" w:header="709" w:footer="4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09" w:rsidRDefault="00097A09">
      <w:r>
        <w:separator/>
      </w:r>
    </w:p>
  </w:endnote>
  <w:endnote w:type="continuationSeparator" w:id="0">
    <w:p w:rsidR="00097A09" w:rsidRDefault="000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6F" w:rsidRPr="00787E82" w:rsidRDefault="009C1F6F" w:rsidP="009C1F6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66479" w:rsidRPr="009C1F6F" w:rsidRDefault="009C1F6F" w:rsidP="009C1F6F">
    <w:pPr>
      <w:tabs>
        <w:tab w:val="center" w:pos="4320"/>
        <w:tab w:val="right" w:pos="8640"/>
      </w:tabs>
      <w:ind w:left="-709" w:right="-285"/>
      <w:jc w:val="center"/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09" w:rsidRDefault="00097A09">
      <w:r>
        <w:separator/>
      </w:r>
    </w:p>
  </w:footnote>
  <w:footnote w:type="continuationSeparator" w:id="0">
    <w:p w:rsidR="00097A09" w:rsidRDefault="0009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B27D7F">
    <w:pPr>
      <w:pStyle w:val="Cabealho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2D66C4A" wp14:editId="7704FF63">
          <wp:simplePos x="0" y="0"/>
          <wp:positionH relativeFrom="column">
            <wp:posOffset>-895317</wp:posOffset>
          </wp:positionH>
          <wp:positionV relativeFrom="paragraph">
            <wp:posOffset>-616148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8pt" o:ole="" fillcolor="window">
          <v:imagedata r:id="rId1" o:title=""/>
        </v:shape>
        <o:OLEObject Type="Embed" ProgID="MSDraw" ShapeID="_x0000_i1025" DrawAspect="Content" ObjectID="_1505197419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7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F854B0"/>
    <w:multiLevelType w:val="hybridMultilevel"/>
    <w:tmpl w:val="3BF6D9B4"/>
    <w:lvl w:ilvl="0" w:tplc="9D6EEE0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5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5C67122"/>
    <w:multiLevelType w:val="hybridMultilevel"/>
    <w:tmpl w:val="E30E307A"/>
    <w:lvl w:ilvl="0" w:tplc="57581C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5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5"/>
  </w:num>
  <w:num w:numId="5">
    <w:abstractNumId w:val="38"/>
  </w:num>
  <w:num w:numId="6">
    <w:abstractNumId w:val="36"/>
  </w:num>
  <w:num w:numId="7">
    <w:abstractNumId w:val="31"/>
  </w:num>
  <w:num w:numId="8">
    <w:abstractNumId w:val="8"/>
  </w:num>
  <w:num w:numId="9">
    <w:abstractNumId w:val="29"/>
  </w:num>
  <w:num w:numId="10">
    <w:abstractNumId w:val="5"/>
  </w:num>
  <w:num w:numId="11">
    <w:abstractNumId w:val="12"/>
  </w:num>
  <w:num w:numId="12">
    <w:abstractNumId w:val="19"/>
  </w:num>
  <w:num w:numId="13">
    <w:abstractNumId w:val="44"/>
  </w:num>
  <w:num w:numId="14">
    <w:abstractNumId w:val="26"/>
  </w:num>
  <w:num w:numId="15">
    <w:abstractNumId w:val="4"/>
  </w:num>
  <w:num w:numId="16">
    <w:abstractNumId w:val="27"/>
  </w:num>
  <w:num w:numId="17">
    <w:abstractNumId w:val="32"/>
  </w:num>
  <w:num w:numId="18">
    <w:abstractNumId w:val="23"/>
  </w:num>
  <w:num w:numId="19">
    <w:abstractNumId w:val="43"/>
  </w:num>
  <w:num w:numId="20">
    <w:abstractNumId w:val="17"/>
  </w:num>
  <w:num w:numId="21">
    <w:abstractNumId w:val="24"/>
  </w:num>
  <w:num w:numId="22">
    <w:abstractNumId w:val="15"/>
  </w:num>
  <w:num w:numId="23">
    <w:abstractNumId w:val="14"/>
  </w:num>
  <w:num w:numId="24">
    <w:abstractNumId w:val="22"/>
  </w:num>
  <w:num w:numId="25">
    <w:abstractNumId w:val="37"/>
  </w:num>
  <w:num w:numId="26">
    <w:abstractNumId w:val="18"/>
  </w:num>
  <w:num w:numId="27">
    <w:abstractNumId w:val="25"/>
  </w:num>
  <w:num w:numId="28">
    <w:abstractNumId w:val="42"/>
  </w:num>
  <w:num w:numId="29">
    <w:abstractNumId w:val="16"/>
  </w:num>
  <w:num w:numId="30">
    <w:abstractNumId w:val="28"/>
  </w:num>
  <w:num w:numId="31">
    <w:abstractNumId w:val="1"/>
  </w:num>
  <w:num w:numId="32">
    <w:abstractNumId w:val="41"/>
  </w:num>
  <w:num w:numId="33">
    <w:abstractNumId w:val="13"/>
  </w:num>
  <w:num w:numId="34">
    <w:abstractNumId w:val="39"/>
  </w:num>
  <w:num w:numId="35">
    <w:abstractNumId w:val="7"/>
  </w:num>
  <w:num w:numId="36">
    <w:abstractNumId w:val="11"/>
  </w:num>
  <w:num w:numId="37">
    <w:abstractNumId w:val="21"/>
  </w:num>
  <w:num w:numId="38">
    <w:abstractNumId w:val="20"/>
  </w:num>
  <w:num w:numId="39">
    <w:abstractNumId w:val="34"/>
  </w:num>
  <w:num w:numId="40">
    <w:abstractNumId w:val="6"/>
  </w:num>
  <w:num w:numId="41">
    <w:abstractNumId w:val="35"/>
  </w:num>
  <w:num w:numId="42">
    <w:abstractNumId w:val="10"/>
  </w:num>
  <w:num w:numId="43">
    <w:abstractNumId w:val="33"/>
  </w:num>
  <w:num w:numId="44">
    <w:abstractNumId w:val="30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30B1E"/>
    <w:rsid w:val="000431BB"/>
    <w:rsid w:val="00043FC5"/>
    <w:rsid w:val="00046FC2"/>
    <w:rsid w:val="000615C4"/>
    <w:rsid w:val="000726EE"/>
    <w:rsid w:val="0007409C"/>
    <w:rsid w:val="0008201A"/>
    <w:rsid w:val="000849E4"/>
    <w:rsid w:val="0009106D"/>
    <w:rsid w:val="0009303E"/>
    <w:rsid w:val="00097A09"/>
    <w:rsid w:val="000A0F01"/>
    <w:rsid w:val="000A5476"/>
    <w:rsid w:val="000A64D5"/>
    <w:rsid w:val="000D76AE"/>
    <w:rsid w:val="000E7192"/>
    <w:rsid w:val="000E7A30"/>
    <w:rsid w:val="001018DB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A0B8D"/>
    <w:rsid w:val="001B3B1F"/>
    <w:rsid w:val="001C1CA7"/>
    <w:rsid w:val="001D0CB4"/>
    <w:rsid w:val="001D0D24"/>
    <w:rsid w:val="001D24C1"/>
    <w:rsid w:val="001E486D"/>
    <w:rsid w:val="0020160F"/>
    <w:rsid w:val="00202ABA"/>
    <w:rsid w:val="00205BCF"/>
    <w:rsid w:val="00212964"/>
    <w:rsid w:val="00221296"/>
    <w:rsid w:val="002224B5"/>
    <w:rsid w:val="00227034"/>
    <w:rsid w:val="002308FE"/>
    <w:rsid w:val="00234E9A"/>
    <w:rsid w:val="00236B2A"/>
    <w:rsid w:val="002376B4"/>
    <w:rsid w:val="002452FB"/>
    <w:rsid w:val="002477A8"/>
    <w:rsid w:val="00255572"/>
    <w:rsid w:val="0025654A"/>
    <w:rsid w:val="002658AA"/>
    <w:rsid w:val="00273D79"/>
    <w:rsid w:val="002801FF"/>
    <w:rsid w:val="00292572"/>
    <w:rsid w:val="002A2E62"/>
    <w:rsid w:val="002A6D83"/>
    <w:rsid w:val="002B7077"/>
    <w:rsid w:val="002B709C"/>
    <w:rsid w:val="002C323A"/>
    <w:rsid w:val="002C638A"/>
    <w:rsid w:val="002D6930"/>
    <w:rsid w:val="002E08C6"/>
    <w:rsid w:val="0030298E"/>
    <w:rsid w:val="00306082"/>
    <w:rsid w:val="003115CC"/>
    <w:rsid w:val="00311F30"/>
    <w:rsid w:val="00320FAA"/>
    <w:rsid w:val="00323933"/>
    <w:rsid w:val="00326A06"/>
    <w:rsid w:val="003438E8"/>
    <w:rsid w:val="00344B27"/>
    <w:rsid w:val="0034569F"/>
    <w:rsid w:val="00345F0F"/>
    <w:rsid w:val="003460F8"/>
    <w:rsid w:val="00347F22"/>
    <w:rsid w:val="00374E82"/>
    <w:rsid w:val="003751BE"/>
    <w:rsid w:val="003839E9"/>
    <w:rsid w:val="00386ADC"/>
    <w:rsid w:val="003919C7"/>
    <w:rsid w:val="0039305B"/>
    <w:rsid w:val="003946FF"/>
    <w:rsid w:val="0039574A"/>
    <w:rsid w:val="00396FB5"/>
    <w:rsid w:val="003A42D5"/>
    <w:rsid w:val="003A69F8"/>
    <w:rsid w:val="003B0BE9"/>
    <w:rsid w:val="003B69FC"/>
    <w:rsid w:val="003C0E3F"/>
    <w:rsid w:val="003C7803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0640"/>
    <w:rsid w:val="00425DDA"/>
    <w:rsid w:val="00430727"/>
    <w:rsid w:val="0043128B"/>
    <w:rsid w:val="00433FDE"/>
    <w:rsid w:val="0044356A"/>
    <w:rsid w:val="004568E6"/>
    <w:rsid w:val="004625BF"/>
    <w:rsid w:val="004763D4"/>
    <w:rsid w:val="004837A4"/>
    <w:rsid w:val="0048683D"/>
    <w:rsid w:val="00497775"/>
    <w:rsid w:val="004A6D38"/>
    <w:rsid w:val="004B4597"/>
    <w:rsid w:val="004D37D6"/>
    <w:rsid w:val="004E11E0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71002"/>
    <w:rsid w:val="005A2FE9"/>
    <w:rsid w:val="005A7241"/>
    <w:rsid w:val="005B20C0"/>
    <w:rsid w:val="005C12F4"/>
    <w:rsid w:val="005D1567"/>
    <w:rsid w:val="005D4D01"/>
    <w:rsid w:val="005D5824"/>
    <w:rsid w:val="005E32D8"/>
    <w:rsid w:val="005F42F1"/>
    <w:rsid w:val="00601B51"/>
    <w:rsid w:val="00603159"/>
    <w:rsid w:val="00603532"/>
    <w:rsid w:val="006037CC"/>
    <w:rsid w:val="006063C2"/>
    <w:rsid w:val="0061153B"/>
    <w:rsid w:val="00652A0D"/>
    <w:rsid w:val="00657DBE"/>
    <w:rsid w:val="006643FB"/>
    <w:rsid w:val="00680385"/>
    <w:rsid w:val="00691B5D"/>
    <w:rsid w:val="006975B0"/>
    <w:rsid w:val="006A143E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36E4E"/>
    <w:rsid w:val="00745AD0"/>
    <w:rsid w:val="00762014"/>
    <w:rsid w:val="00772E3D"/>
    <w:rsid w:val="00790D18"/>
    <w:rsid w:val="007923FB"/>
    <w:rsid w:val="007A623F"/>
    <w:rsid w:val="007A6CDD"/>
    <w:rsid w:val="007A7C0C"/>
    <w:rsid w:val="007C74C5"/>
    <w:rsid w:val="007C767E"/>
    <w:rsid w:val="007D558F"/>
    <w:rsid w:val="007E1272"/>
    <w:rsid w:val="007F3045"/>
    <w:rsid w:val="00800D85"/>
    <w:rsid w:val="008169B3"/>
    <w:rsid w:val="00820487"/>
    <w:rsid w:val="00835DDE"/>
    <w:rsid w:val="008361F2"/>
    <w:rsid w:val="00843F76"/>
    <w:rsid w:val="0084775A"/>
    <w:rsid w:val="0086528F"/>
    <w:rsid w:val="00866479"/>
    <w:rsid w:val="00882C9A"/>
    <w:rsid w:val="0089076C"/>
    <w:rsid w:val="008A64DE"/>
    <w:rsid w:val="008B3722"/>
    <w:rsid w:val="008B4841"/>
    <w:rsid w:val="008C1394"/>
    <w:rsid w:val="008C1ADA"/>
    <w:rsid w:val="008C58DD"/>
    <w:rsid w:val="008D320D"/>
    <w:rsid w:val="00921B5A"/>
    <w:rsid w:val="00936BD8"/>
    <w:rsid w:val="00936EF0"/>
    <w:rsid w:val="00941F7E"/>
    <w:rsid w:val="009429BE"/>
    <w:rsid w:val="00952DF7"/>
    <w:rsid w:val="009718BB"/>
    <w:rsid w:val="009A0E70"/>
    <w:rsid w:val="009C1F6F"/>
    <w:rsid w:val="009D2A72"/>
    <w:rsid w:val="009D3050"/>
    <w:rsid w:val="009E0DF0"/>
    <w:rsid w:val="009E1BDA"/>
    <w:rsid w:val="009E27C3"/>
    <w:rsid w:val="009E4C3D"/>
    <w:rsid w:val="009F2B45"/>
    <w:rsid w:val="009F58AB"/>
    <w:rsid w:val="009F5B77"/>
    <w:rsid w:val="00A127D4"/>
    <w:rsid w:val="00A251FA"/>
    <w:rsid w:val="00A34112"/>
    <w:rsid w:val="00A60AB2"/>
    <w:rsid w:val="00A60D40"/>
    <w:rsid w:val="00A62FCA"/>
    <w:rsid w:val="00A64974"/>
    <w:rsid w:val="00A71F5F"/>
    <w:rsid w:val="00A75461"/>
    <w:rsid w:val="00A978C9"/>
    <w:rsid w:val="00AA0695"/>
    <w:rsid w:val="00AA3744"/>
    <w:rsid w:val="00AA695E"/>
    <w:rsid w:val="00AB0D1A"/>
    <w:rsid w:val="00AC0AF1"/>
    <w:rsid w:val="00AC6050"/>
    <w:rsid w:val="00AE3C40"/>
    <w:rsid w:val="00AF01FC"/>
    <w:rsid w:val="00AF02B8"/>
    <w:rsid w:val="00AF16B7"/>
    <w:rsid w:val="00AF6270"/>
    <w:rsid w:val="00B0337E"/>
    <w:rsid w:val="00B03A82"/>
    <w:rsid w:val="00B15591"/>
    <w:rsid w:val="00B218B4"/>
    <w:rsid w:val="00B27D7F"/>
    <w:rsid w:val="00B300A9"/>
    <w:rsid w:val="00B31D55"/>
    <w:rsid w:val="00B37CE6"/>
    <w:rsid w:val="00B50426"/>
    <w:rsid w:val="00B713BE"/>
    <w:rsid w:val="00B83FBB"/>
    <w:rsid w:val="00B84CCF"/>
    <w:rsid w:val="00BA150E"/>
    <w:rsid w:val="00BB523B"/>
    <w:rsid w:val="00BC2C8C"/>
    <w:rsid w:val="00BD2FD9"/>
    <w:rsid w:val="00BD45FF"/>
    <w:rsid w:val="00BE22F0"/>
    <w:rsid w:val="00BE4CA8"/>
    <w:rsid w:val="00BE5B69"/>
    <w:rsid w:val="00BF4274"/>
    <w:rsid w:val="00C028C3"/>
    <w:rsid w:val="00C115F8"/>
    <w:rsid w:val="00C12C14"/>
    <w:rsid w:val="00C166C1"/>
    <w:rsid w:val="00C37D94"/>
    <w:rsid w:val="00C47275"/>
    <w:rsid w:val="00C60E17"/>
    <w:rsid w:val="00C77625"/>
    <w:rsid w:val="00C7769C"/>
    <w:rsid w:val="00C801F8"/>
    <w:rsid w:val="00C85FE4"/>
    <w:rsid w:val="00C97430"/>
    <w:rsid w:val="00CA2DC9"/>
    <w:rsid w:val="00CA32C5"/>
    <w:rsid w:val="00CA5D7C"/>
    <w:rsid w:val="00CB3783"/>
    <w:rsid w:val="00CC07ED"/>
    <w:rsid w:val="00CF37FD"/>
    <w:rsid w:val="00D01EFD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91971"/>
    <w:rsid w:val="00DA643E"/>
    <w:rsid w:val="00DB0E27"/>
    <w:rsid w:val="00DD021B"/>
    <w:rsid w:val="00DD50FA"/>
    <w:rsid w:val="00DD679E"/>
    <w:rsid w:val="00DE3172"/>
    <w:rsid w:val="00DF005A"/>
    <w:rsid w:val="00DF62F4"/>
    <w:rsid w:val="00E01468"/>
    <w:rsid w:val="00E05002"/>
    <w:rsid w:val="00E21BA9"/>
    <w:rsid w:val="00E22437"/>
    <w:rsid w:val="00E264B6"/>
    <w:rsid w:val="00E370AA"/>
    <w:rsid w:val="00E42270"/>
    <w:rsid w:val="00E54A20"/>
    <w:rsid w:val="00E557D5"/>
    <w:rsid w:val="00E568B3"/>
    <w:rsid w:val="00E57683"/>
    <w:rsid w:val="00E621D6"/>
    <w:rsid w:val="00E70E43"/>
    <w:rsid w:val="00E76244"/>
    <w:rsid w:val="00E7736A"/>
    <w:rsid w:val="00E8525C"/>
    <w:rsid w:val="00E91F1E"/>
    <w:rsid w:val="00E920EB"/>
    <w:rsid w:val="00E937F3"/>
    <w:rsid w:val="00E976BE"/>
    <w:rsid w:val="00EA5696"/>
    <w:rsid w:val="00EB27D9"/>
    <w:rsid w:val="00EB289E"/>
    <w:rsid w:val="00EB5840"/>
    <w:rsid w:val="00EB5D74"/>
    <w:rsid w:val="00EB7CD7"/>
    <w:rsid w:val="00EC1490"/>
    <w:rsid w:val="00ED2643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3B95"/>
    <w:rsid w:val="00F27604"/>
    <w:rsid w:val="00F4245B"/>
    <w:rsid w:val="00F4376C"/>
    <w:rsid w:val="00F478CE"/>
    <w:rsid w:val="00F54A6C"/>
    <w:rsid w:val="00F651C6"/>
    <w:rsid w:val="00F65E68"/>
    <w:rsid w:val="00F73AAD"/>
    <w:rsid w:val="00F7663E"/>
    <w:rsid w:val="00F76A1E"/>
    <w:rsid w:val="00F811BC"/>
    <w:rsid w:val="00F91FFE"/>
    <w:rsid w:val="00F93AD1"/>
    <w:rsid w:val="00FB05CE"/>
    <w:rsid w:val="00FC0252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028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02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028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02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FC9E1-B673-41C1-A4A3-5D820FEB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usuario</cp:lastModifiedBy>
  <cp:revision>9</cp:revision>
  <cp:lastPrinted>2015-07-09T15:03:00Z</cp:lastPrinted>
  <dcterms:created xsi:type="dcterms:W3CDTF">2015-09-30T13:52:00Z</dcterms:created>
  <dcterms:modified xsi:type="dcterms:W3CDTF">2015-10-01T12:37:00Z</dcterms:modified>
</cp:coreProperties>
</file>