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EB" w:rsidRPr="003B0195" w:rsidRDefault="001C6DEB">
      <w:pPr>
        <w:rPr>
          <w:rFonts w:ascii="Times New Roman" w:hAnsi="Times New Roman"/>
        </w:rPr>
      </w:pPr>
    </w:p>
    <w:tbl>
      <w:tblPr>
        <w:tblW w:w="9356" w:type="dxa"/>
        <w:jc w:val="center"/>
        <w:tblCellMar>
          <w:left w:w="10" w:type="dxa"/>
          <w:right w:w="10" w:type="dxa"/>
        </w:tblCellMar>
        <w:tblLook w:val="04A0" w:firstRow="1" w:lastRow="0" w:firstColumn="1" w:lastColumn="0" w:noHBand="0" w:noVBand="1"/>
      </w:tblPr>
      <w:tblGrid>
        <w:gridCol w:w="1857"/>
        <w:gridCol w:w="7499"/>
      </w:tblGrid>
      <w:tr w:rsidR="001C6DEB" w:rsidRPr="003B0195" w:rsidTr="003B0195">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4017AE">
            <w:pPr>
              <w:tabs>
                <w:tab w:val="left" w:pos="1418"/>
              </w:tabs>
              <w:rPr>
                <w:rFonts w:ascii="Times New Roman" w:hAnsi="Times New Roman"/>
              </w:rPr>
            </w:pPr>
            <w:r w:rsidRPr="003B0195">
              <w:rPr>
                <w:rFonts w:ascii="Times New Roman" w:hAnsi="Times New Roman"/>
              </w:rPr>
              <w:t>PROCESSO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1C6DEB" w:rsidRPr="003B0195" w:rsidRDefault="003B0195">
            <w:pPr>
              <w:tabs>
                <w:tab w:val="left" w:pos="1418"/>
              </w:tabs>
              <w:rPr>
                <w:rFonts w:ascii="Times New Roman" w:hAnsi="Times New Roman"/>
              </w:rPr>
            </w:pPr>
            <w:r w:rsidRPr="003B0195">
              <w:rPr>
                <w:rFonts w:ascii="Times New Roman" w:hAnsi="Times New Roman"/>
              </w:rPr>
              <w:t>1000071454/2018</w:t>
            </w:r>
          </w:p>
        </w:tc>
      </w:tr>
      <w:tr w:rsidR="001C6DEB" w:rsidRPr="003B0195" w:rsidTr="003B0195">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4017AE">
            <w:pPr>
              <w:tabs>
                <w:tab w:val="left" w:pos="1418"/>
              </w:tabs>
              <w:rPr>
                <w:rFonts w:ascii="Times New Roman" w:hAnsi="Times New Roman"/>
              </w:rPr>
            </w:pPr>
            <w:r w:rsidRPr="003B0195">
              <w:rPr>
                <w:rFonts w:ascii="Times New Roman" w:hAnsi="Times New Roman"/>
              </w:rPr>
              <w:t>PROTOCOLO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1C6DEB" w:rsidRPr="003B0195" w:rsidRDefault="003B0195">
            <w:pPr>
              <w:tabs>
                <w:tab w:val="left" w:pos="1418"/>
              </w:tabs>
              <w:rPr>
                <w:rFonts w:ascii="Times New Roman" w:hAnsi="Times New Roman"/>
              </w:rPr>
            </w:pPr>
            <w:r w:rsidRPr="003B0195">
              <w:rPr>
                <w:rFonts w:ascii="Times New Roman" w:hAnsi="Times New Roman"/>
              </w:rPr>
              <w:t>811115/2019</w:t>
            </w:r>
          </w:p>
        </w:tc>
      </w:tr>
      <w:tr w:rsidR="001C6DEB" w:rsidRPr="003B0195" w:rsidTr="003B0195">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3B0195">
            <w:pPr>
              <w:tabs>
                <w:tab w:val="left" w:pos="1418"/>
              </w:tabs>
              <w:rPr>
                <w:rFonts w:ascii="Times New Roman" w:hAnsi="Times New Roman"/>
              </w:rPr>
            </w:pPr>
            <w:r w:rsidRPr="003B0195">
              <w:rPr>
                <w:rFonts w:ascii="Times New Roman" w:hAnsi="Times New Roman"/>
              </w:rPr>
              <w:t>INICIAIS DO INTERESSADO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1C6DEB" w:rsidRPr="003B0195" w:rsidRDefault="003B0195" w:rsidP="003B0195">
            <w:pPr>
              <w:tabs>
                <w:tab w:val="left" w:pos="1418"/>
              </w:tabs>
              <w:rPr>
                <w:rFonts w:ascii="Times New Roman" w:hAnsi="Times New Roman"/>
              </w:rPr>
            </w:pPr>
            <w:r w:rsidRPr="003B0195">
              <w:rPr>
                <w:rFonts w:ascii="Times New Roman" w:hAnsi="Times New Roman"/>
              </w:rPr>
              <w:t>V. A. LTDA</w:t>
            </w:r>
          </w:p>
        </w:tc>
      </w:tr>
      <w:tr w:rsidR="001C6DEB" w:rsidRPr="003B0195" w:rsidTr="003B0195">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4017AE">
            <w:pPr>
              <w:tabs>
                <w:tab w:val="left" w:pos="1418"/>
              </w:tabs>
              <w:rPr>
                <w:rFonts w:ascii="Times New Roman" w:hAnsi="Times New Roman"/>
              </w:rPr>
            </w:pPr>
            <w:r w:rsidRPr="003B0195">
              <w:rPr>
                <w:rFonts w:ascii="Times New Roman" w:hAnsi="Times New Roman"/>
              </w:rPr>
              <w:t>ASSUNTO</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1C6DEB" w:rsidRPr="003B0195" w:rsidRDefault="004017AE">
            <w:pPr>
              <w:jc w:val="both"/>
              <w:rPr>
                <w:rFonts w:ascii="Times New Roman" w:hAnsi="Times New Roman"/>
              </w:rPr>
            </w:pPr>
            <w:r w:rsidRPr="003B0195">
              <w:rPr>
                <w:rFonts w:ascii="Times New Roman" w:hAnsi="Times New Roman"/>
              </w:rPr>
              <w:t>AUSÊNCIA DE REGISTRO DE PESSOA JURÍDICA</w:t>
            </w:r>
          </w:p>
        </w:tc>
      </w:tr>
      <w:tr w:rsidR="001C6DEB" w:rsidRPr="003B0195" w:rsidTr="003B0195">
        <w:trPr>
          <w:trHeight w:val="460"/>
          <w:jc w:val="center"/>
        </w:trPr>
        <w:tc>
          <w:tcPr>
            <w:tcW w:w="1720" w:type="dxa"/>
            <w:tcBorders>
              <w:top w:val="single" w:sz="12" w:space="0" w:color="808080"/>
              <w:bottom w:val="single" w:sz="12" w:space="0" w:color="808080"/>
              <w:right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4017AE">
            <w:pPr>
              <w:tabs>
                <w:tab w:val="left" w:pos="1418"/>
              </w:tabs>
              <w:rPr>
                <w:rFonts w:ascii="Times New Roman" w:hAnsi="Times New Roman"/>
              </w:rPr>
            </w:pPr>
            <w:r w:rsidRPr="003B0195">
              <w:rPr>
                <w:rFonts w:ascii="Times New Roman" w:hAnsi="Times New Roman"/>
              </w:rPr>
              <w:t>RELATOR</w:t>
            </w:r>
          </w:p>
        </w:tc>
        <w:tc>
          <w:tcPr>
            <w:tcW w:w="7636"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1C6DEB" w:rsidRPr="003B0195" w:rsidRDefault="004017AE" w:rsidP="003B0195">
            <w:pPr>
              <w:tabs>
                <w:tab w:val="left" w:pos="1418"/>
              </w:tabs>
              <w:rPr>
                <w:rFonts w:ascii="Times New Roman" w:hAnsi="Times New Roman"/>
              </w:rPr>
            </w:pPr>
            <w:r w:rsidRPr="003B0195">
              <w:rPr>
                <w:rFonts w:ascii="Times New Roman" w:hAnsi="Times New Roman"/>
              </w:rPr>
              <w:t xml:space="preserve">CONS. </w:t>
            </w:r>
            <w:r w:rsidR="003B0195" w:rsidRPr="003B0195">
              <w:rPr>
                <w:rFonts w:ascii="Times New Roman" w:hAnsi="Times New Roman"/>
              </w:rPr>
              <w:t>ROBERTO LUÍS DECÓ</w:t>
            </w:r>
          </w:p>
        </w:tc>
      </w:tr>
    </w:tbl>
    <w:p w:rsidR="001C6DEB" w:rsidRPr="003B0195" w:rsidRDefault="001C6DEB">
      <w:pPr>
        <w:tabs>
          <w:tab w:val="left" w:pos="1418"/>
        </w:tabs>
        <w:jc w:val="both"/>
        <w:rPr>
          <w:rFonts w:ascii="Times New Roman" w:hAnsi="Times New Roman"/>
        </w:rPr>
      </w:pPr>
    </w:p>
    <w:tbl>
      <w:tblPr>
        <w:tblW w:w="9356" w:type="dxa"/>
        <w:jc w:val="center"/>
        <w:tblCellMar>
          <w:left w:w="10" w:type="dxa"/>
          <w:right w:w="10" w:type="dxa"/>
        </w:tblCellMar>
        <w:tblLook w:val="04A0" w:firstRow="1" w:lastRow="0" w:firstColumn="1" w:lastColumn="0" w:noHBand="0" w:noVBand="1"/>
      </w:tblPr>
      <w:tblGrid>
        <w:gridCol w:w="9356"/>
      </w:tblGrid>
      <w:tr w:rsidR="001C6DEB" w:rsidRPr="003B0195" w:rsidTr="003B0195">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4017AE">
            <w:pPr>
              <w:tabs>
                <w:tab w:val="left" w:pos="0"/>
              </w:tabs>
              <w:jc w:val="center"/>
              <w:rPr>
                <w:rFonts w:ascii="Times New Roman" w:hAnsi="Times New Roman"/>
              </w:rPr>
            </w:pPr>
            <w:r w:rsidRPr="003B0195">
              <w:rPr>
                <w:rFonts w:ascii="Times New Roman" w:hAnsi="Times New Roman"/>
                <w:b/>
              </w:rPr>
              <w:t>RELATÓRIO</w:t>
            </w:r>
          </w:p>
        </w:tc>
      </w:tr>
    </w:tbl>
    <w:p w:rsidR="001C6DEB" w:rsidRPr="003B0195" w:rsidRDefault="001C6DEB">
      <w:pPr>
        <w:rPr>
          <w:rFonts w:ascii="Times New Roman" w:eastAsia="Times New Roman" w:hAnsi="Times New Roman"/>
        </w:rPr>
      </w:pPr>
    </w:p>
    <w:p w:rsidR="00C36C7B" w:rsidRPr="003B0195" w:rsidRDefault="004017AE" w:rsidP="00C36C7B">
      <w:pPr>
        <w:suppressAutoHyphens w:val="0"/>
        <w:autoSpaceDE w:val="0"/>
        <w:adjustRightInd w:val="0"/>
        <w:textAlignment w:val="auto"/>
        <w:rPr>
          <w:rFonts w:ascii="Times New Roman" w:hAnsi="Times New Roman"/>
        </w:rPr>
      </w:pPr>
      <w:r w:rsidRPr="003B0195">
        <w:rPr>
          <w:rFonts w:ascii="Times New Roman" w:hAnsi="Times New Roman"/>
        </w:rPr>
        <w:t>Trata-se de processo de fiscalização</w:t>
      </w:r>
      <w:r w:rsidR="00C36C7B" w:rsidRPr="003B0195">
        <w:rPr>
          <w:rFonts w:ascii="Times New Roman" w:hAnsi="Times New Roman"/>
        </w:rPr>
        <w:t xml:space="preserve"> oriundo do CAU/SC</w:t>
      </w:r>
      <w:r w:rsidRPr="003B0195">
        <w:rPr>
          <w:rFonts w:ascii="Times New Roman" w:hAnsi="Times New Roman"/>
        </w:rPr>
        <w:t xml:space="preserve">, </w:t>
      </w:r>
      <w:r w:rsidR="00C36C7B" w:rsidRPr="003B0195">
        <w:rPr>
          <w:rFonts w:ascii="Times New Roman" w:hAnsi="Times New Roman"/>
        </w:rPr>
        <w:t>encaminhado para análise pela CEP-CAU/RS e julgamento em primeira instância pelo Plenário do CAU/RS, conforme Deliberação Plenária DPOBR nº 0092-10/2019.</w:t>
      </w:r>
    </w:p>
    <w:p w:rsidR="003B0195" w:rsidRPr="003B0195" w:rsidRDefault="003B0195" w:rsidP="00C36C7B">
      <w:pPr>
        <w:suppressAutoHyphens w:val="0"/>
        <w:autoSpaceDE w:val="0"/>
        <w:adjustRightInd w:val="0"/>
        <w:textAlignment w:val="auto"/>
        <w:rPr>
          <w:rFonts w:ascii="Times New Roman" w:hAnsi="Times New Roman"/>
        </w:rPr>
      </w:pPr>
    </w:p>
    <w:p w:rsidR="001C6DEB" w:rsidRPr="003B0195" w:rsidRDefault="00C36C7B">
      <w:pPr>
        <w:tabs>
          <w:tab w:val="left" w:pos="1418"/>
        </w:tabs>
        <w:jc w:val="both"/>
        <w:rPr>
          <w:rFonts w:ascii="Times New Roman" w:hAnsi="Times New Roman"/>
        </w:rPr>
      </w:pPr>
      <w:r w:rsidRPr="003B0195">
        <w:rPr>
          <w:rFonts w:ascii="Times New Roman" w:hAnsi="Times New Roman"/>
        </w:rPr>
        <w:t xml:space="preserve">A ação fiscalizatória foi </w:t>
      </w:r>
      <w:r w:rsidR="004017AE" w:rsidRPr="003B0195">
        <w:rPr>
          <w:rFonts w:ascii="Times New Roman" w:hAnsi="Times New Roman"/>
        </w:rPr>
        <w:t>originad</w:t>
      </w:r>
      <w:r w:rsidRPr="003B0195">
        <w:rPr>
          <w:rFonts w:ascii="Times New Roman" w:hAnsi="Times New Roman"/>
        </w:rPr>
        <w:t>a</w:t>
      </w:r>
      <w:r w:rsidR="004017AE" w:rsidRPr="003B0195">
        <w:rPr>
          <w:rFonts w:ascii="Times New Roman" w:hAnsi="Times New Roman"/>
        </w:rPr>
        <w:t xml:space="preserve"> por meio da denúncia nº</w:t>
      </w:r>
      <w:r w:rsidR="003B0195" w:rsidRPr="003B0195">
        <w:rPr>
          <w:rFonts w:ascii="Times New Roman" w:hAnsi="Times New Roman"/>
        </w:rPr>
        <w:t xml:space="preserve"> 18439</w:t>
      </w:r>
      <w:r w:rsidR="004017AE" w:rsidRPr="003B0195">
        <w:rPr>
          <w:rFonts w:ascii="Times New Roman" w:hAnsi="Times New Roman"/>
        </w:rPr>
        <w:t xml:space="preserve">, em que se averiguou que a pessoa jurídica, </w:t>
      </w:r>
      <w:r w:rsidR="003B0195" w:rsidRPr="003B0195">
        <w:rPr>
          <w:rFonts w:ascii="Times New Roman" w:hAnsi="Times New Roman"/>
        </w:rPr>
        <w:t>V. A. LTDA</w:t>
      </w:r>
      <w:r w:rsidR="004017AE" w:rsidRPr="003B0195">
        <w:rPr>
          <w:rFonts w:ascii="Times New Roman" w:hAnsi="Times New Roman"/>
        </w:rPr>
        <w:t>, inscrita no CNPJ sob o nº</w:t>
      </w:r>
      <w:r w:rsidR="003B0195" w:rsidRPr="003B0195">
        <w:rPr>
          <w:rFonts w:ascii="Times New Roman" w:hAnsi="Times New Roman"/>
        </w:rPr>
        <w:t xml:space="preserve"> 11.953.480/0001-21</w:t>
      </w:r>
      <w:r w:rsidR="004017AE" w:rsidRPr="003B0195">
        <w:rPr>
          <w:rFonts w:ascii="Times New Roman" w:hAnsi="Times New Roman"/>
        </w:rPr>
        <w:t>, exerce atividade afeita à profissão de arquitetura e urbanismo, sem, contudo, estar registrada no CAU.</w:t>
      </w:r>
    </w:p>
    <w:p w:rsidR="001C6DEB" w:rsidRPr="003B0195" w:rsidRDefault="001C6DEB">
      <w:pPr>
        <w:tabs>
          <w:tab w:val="left" w:pos="1418"/>
        </w:tabs>
        <w:jc w:val="both"/>
        <w:rPr>
          <w:rFonts w:ascii="Times New Roman" w:hAnsi="Times New Roman"/>
        </w:rPr>
      </w:pPr>
    </w:p>
    <w:p w:rsidR="005655D7" w:rsidRPr="003B0195" w:rsidRDefault="004017AE" w:rsidP="00C36C7B">
      <w:pPr>
        <w:tabs>
          <w:tab w:val="left" w:pos="1418"/>
        </w:tabs>
        <w:jc w:val="both"/>
        <w:rPr>
          <w:rFonts w:ascii="Times New Roman" w:hAnsi="Times New Roman"/>
        </w:rPr>
      </w:pPr>
      <w:r w:rsidRPr="003B0195">
        <w:rPr>
          <w:rFonts w:ascii="Times New Roman" w:hAnsi="Times New Roman"/>
        </w:rPr>
        <w:t xml:space="preserve">Previamente à lavratura da notificação preventiva, a parte interessada foi orientada sobre a obrigatoriedade do registro no Conselho, por </w:t>
      </w:r>
      <w:r w:rsidR="00C36C7B" w:rsidRPr="003B0195">
        <w:rPr>
          <w:rFonts w:ascii="Times New Roman" w:hAnsi="Times New Roman"/>
        </w:rPr>
        <w:t xml:space="preserve">meio </w:t>
      </w:r>
      <w:r w:rsidR="005655D7" w:rsidRPr="003B0195">
        <w:rPr>
          <w:rFonts w:ascii="Times New Roman" w:hAnsi="Times New Roman"/>
        </w:rPr>
        <w:t>do Ofício n° 61/2018 enviado por</w:t>
      </w:r>
      <w:r w:rsidR="00C36C7B" w:rsidRPr="003B0195">
        <w:rPr>
          <w:rFonts w:ascii="Times New Roman" w:hAnsi="Times New Roman"/>
        </w:rPr>
        <w:t xml:space="preserve"> e-mail </w:t>
      </w:r>
      <w:r w:rsidR="005655D7" w:rsidRPr="003B0195">
        <w:rPr>
          <w:rFonts w:ascii="Times New Roman" w:hAnsi="Times New Roman"/>
        </w:rPr>
        <w:t>no dia 22/08/2018. No mesmo dia, a empresa comunicou sua inatividade e, no dia 23/08/2018, enviou os documentos comprobatórios de sua situação.</w:t>
      </w:r>
    </w:p>
    <w:p w:rsidR="003B0195" w:rsidRPr="003B0195" w:rsidRDefault="003B0195" w:rsidP="00C36C7B">
      <w:pPr>
        <w:tabs>
          <w:tab w:val="left" w:pos="1418"/>
        </w:tabs>
        <w:jc w:val="both"/>
        <w:rPr>
          <w:rFonts w:ascii="Times New Roman" w:hAnsi="Times New Roman"/>
        </w:rPr>
      </w:pPr>
    </w:p>
    <w:p w:rsidR="005655D7" w:rsidRPr="003B0195" w:rsidRDefault="005655D7" w:rsidP="00C36C7B">
      <w:pPr>
        <w:tabs>
          <w:tab w:val="left" w:pos="1418"/>
        </w:tabs>
        <w:jc w:val="both"/>
        <w:rPr>
          <w:rFonts w:ascii="Times New Roman" w:hAnsi="Times New Roman"/>
        </w:rPr>
      </w:pPr>
      <w:r w:rsidRPr="003B0195">
        <w:rPr>
          <w:rFonts w:ascii="Times New Roman" w:hAnsi="Times New Roman"/>
        </w:rPr>
        <w:t>O Ofício GERFISC nº 75/2018 que esclarecia a necessidade de registro mesmo na condição de inatividade foi recebido no dia 11/09/2018. Este mesmo ofício esclarecia também que, após o registro, a pessoa jurídica inativa poderia solicitar a interrupção do registro.</w:t>
      </w:r>
    </w:p>
    <w:p w:rsidR="003B0195" w:rsidRPr="003B0195" w:rsidRDefault="003B0195" w:rsidP="00C36C7B">
      <w:pPr>
        <w:tabs>
          <w:tab w:val="left" w:pos="1418"/>
        </w:tabs>
        <w:jc w:val="both"/>
        <w:rPr>
          <w:rFonts w:ascii="Times New Roman" w:hAnsi="Times New Roman"/>
        </w:rPr>
      </w:pPr>
    </w:p>
    <w:p w:rsidR="005655D7" w:rsidRPr="003B0195" w:rsidRDefault="005655D7" w:rsidP="00C36C7B">
      <w:pPr>
        <w:tabs>
          <w:tab w:val="left" w:pos="1418"/>
        </w:tabs>
        <w:jc w:val="both"/>
        <w:rPr>
          <w:rFonts w:ascii="Times New Roman" w:hAnsi="Times New Roman"/>
        </w:rPr>
      </w:pPr>
      <w:r w:rsidRPr="003B0195">
        <w:rPr>
          <w:rFonts w:ascii="Times New Roman" w:hAnsi="Times New Roman"/>
        </w:rPr>
        <w:t>No dia 12/09/2018, a empresa solicitou seu registro de Pessoa Jurídica. Por não ter concluído o registro, nos termos do art. 13, da Resolução CAU/BR nº 022/2012, o Agente de Fiscalização do CAU/RS efetuou, em 09/11/2018, a Notificação Preventiva 1000071454, intimando a parte interessada a adotar, no prazo de 10 (dez) dias, as providências necessárias para regularizar a situação ou apresentar contestação escrita.</w:t>
      </w:r>
    </w:p>
    <w:p w:rsidR="005655D7" w:rsidRPr="003B0195" w:rsidRDefault="005655D7" w:rsidP="00C36C7B">
      <w:pPr>
        <w:tabs>
          <w:tab w:val="left" w:pos="1418"/>
        </w:tabs>
        <w:jc w:val="both"/>
        <w:rPr>
          <w:rFonts w:ascii="Times New Roman" w:hAnsi="Times New Roman"/>
        </w:rPr>
      </w:pPr>
    </w:p>
    <w:p w:rsidR="001C6DEB" w:rsidRPr="003B0195" w:rsidRDefault="004017AE">
      <w:pPr>
        <w:tabs>
          <w:tab w:val="left" w:pos="1418"/>
        </w:tabs>
        <w:jc w:val="both"/>
        <w:rPr>
          <w:rFonts w:ascii="Times New Roman" w:hAnsi="Times New Roman"/>
        </w:rPr>
      </w:pPr>
      <w:r w:rsidRPr="003B0195">
        <w:rPr>
          <w:rFonts w:ascii="Times New Roman" w:hAnsi="Times New Roman"/>
        </w:rPr>
        <w:t xml:space="preserve">Notificada em </w:t>
      </w:r>
      <w:r w:rsidR="005655D7" w:rsidRPr="003B0195">
        <w:rPr>
          <w:rFonts w:ascii="Times New Roman" w:hAnsi="Times New Roman"/>
        </w:rPr>
        <w:t>13/11/2020,</w:t>
      </w:r>
      <w:r w:rsidRPr="003B0195">
        <w:rPr>
          <w:rFonts w:ascii="Times New Roman" w:hAnsi="Times New Roman"/>
        </w:rPr>
        <w:t xml:space="preserve"> a parte interessada </w:t>
      </w:r>
      <w:r w:rsidR="005655D7" w:rsidRPr="003B0195">
        <w:rPr>
          <w:rFonts w:ascii="Times New Roman" w:hAnsi="Times New Roman"/>
        </w:rPr>
        <w:t>permaneceu silente.</w:t>
      </w:r>
    </w:p>
    <w:p w:rsidR="005655D7" w:rsidRPr="003B0195" w:rsidRDefault="005655D7">
      <w:pPr>
        <w:tabs>
          <w:tab w:val="left" w:pos="1418"/>
        </w:tabs>
        <w:jc w:val="both"/>
        <w:rPr>
          <w:rFonts w:ascii="Times New Roman" w:hAnsi="Times New Roman"/>
        </w:rPr>
      </w:pPr>
    </w:p>
    <w:p w:rsidR="001C6DEB" w:rsidRPr="003B0195" w:rsidRDefault="004017AE">
      <w:pPr>
        <w:tabs>
          <w:tab w:val="left" w:pos="1418"/>
        </w:tabs>
        <w:jc w:val="both"/>
        <w:rPr>
          <w:rFonts w:ascii="Times New Roman" w:hAnsi="Times New Roman"/>
        </w:rPr>
      </w:pPr>
      <w:r w:rsidRPr="003B0195">
        <w:rPr>
          <w:rFonts w:ascii="Times New Roman" w:hAnsi="Times New Roman"/>
        </w:rPr>
        <w:t>Em razão da ausência de regularização da situação averiguada, nos termos do art. 15, da Resolução CAU/BR nº 022/2012, o Agente de Fiscalização do CAU/RS lavrou, em</w:t>
      </w:r>
      <w:r w:rsidR="005655D7" w:rsidRPr="003B0195">
        <w:rPr>
          <w:rFonts w:ascii="Times New Roman" w:hAnsi="Times New Roman"/>
        </w:rPr>
        <w:t xml:space="preserve"> 27/11/2018</w:t>
      </w:r>
      <w:r w:rsidRPr="003B0195">
        <w:rPr>
          <w:rFonts w:ascii="Times New Roman" w:hAnsi="Times New Roman"/>
        </w:rPr>
        <w:t xml:space="preserve">, o Auto de Infração </w:t>
      </w:r>
      <w:r w:rsidR="005655D7" w:rsidRPr="003B0195">
        <w:rPr>
          <w:rFonts w:ascii="Times New Roman" w:hAnsi="Times New Roman"/>
        </w:rPr>
        <w:t>1000071454</w:t>
      </w:r>
      <w:r w:rsidRPr="003B0195">
        <w:rPr>
          <w:rFonts w:ascii="Times New Roman" w:hAnsi="Times New Roman"/>
        </w:rPr>
        <w:t>, fixando a multa no valor de R$</w:t>
      </w:r>
      <w:r w:rsidR="005655D7" w:rsidRPr="003B0195">
        <w:rPr>
          <w:rFonts w:ascii="Times New Roman" w:hAnsi="Times New Roman"/>
        </w:rPr>
        <w:t xml:space="preserve"> 2.668,90 (dois mil, seiscentos e sessenta e oito reais e noventa centavos)</w:t>
      </w:r>
      <w:r w:rsidRPr="003B0195">
        <w:rPr>
          <w:rFonts w:ascii="Times New Roman" w:hAnsi="Times New Roman"/>
        </w:rPr>
        <w:t xml:space="preserve"> e intimou a parte interessada a, no prazo de 10 (dez) dias, efetuar o pagamento da multa aplicada e regularizar a situação averiguada ou apresentar defesa à Comissão de Ex</w:t>
      </w:r>
      <w:r w:rsidR="005655D7" w:rsidRPr="003B0195">
        <w:rPr>
          <w:rFonts w:ascii="Times New Roman" w:hAnsi="Times New Roman"/>
        </w:rPr>
        <w:t>ercício Profissional – CEP-CAU/SC</w:t>
      </w:r>
      <w:r w:rsidRPr="003B0195">
        <w:rPr>
          <w:rFonts w:ascii="Times New Roman" w:hAnsi="Times New Roman"/>
        </w:rPr>
        <w:t>.</w:t>
      </w:r>
    </w:p>
    <w:p w:rsidR="001C6DEB" w:rsidRPr="003B0195" w:rsidRDefault="001C6DEB">
      <w:pPr>
        <w:tabs>
          <w:tab w:val="left" w:pos="1418"/>
        </w:tabs>
        <w:jc w:val="both"/>
        <w:rPr>
          <w:rFonts w:ascii="Times New Roman" w:hAnsi="Times New Roman"/>
        </w:rPr>
      </w:pPr>
    </w:p>
    <w:p w:rsidR="001C6DEB" w:rsidRPr="003B0195" w:rsidRDefault="004017AE">
      <w:pPr>
        <w:tabs>
          <w:tab w:val="left" w:pos="1418"/>
        </w:tabs>
        <w:jc w:val="both"/>
        <w:rPr>
          <w:rFonts w:ascii="Times New Roman" w:hAnsi="Times New Roman"/>
        </w:rPr>
      </w:pPr>
      <w:r w:rsidRPr="003B0195">
        <w:rPr>
          <w:rFonts w:ascii="Times New Roman" w:hAnsi="Times New Roman"/>
        </w:rPr>
        <w:t xml:space="preserve">Intimada em </w:t>
      </w:r>
      <w:r w:rsidR="005655D7" w:rsidRPr="003B0195">
        <w:rPr>
          <w:rFonts w:ascii="Times New Roman" w:hAnsi="Times New Roman"/>
        </w:rPr>
        <w:t xml:space="preserve">28/11/2018, </w:t>
      </w:r>
      <w:r w:rsidRPr="003B0195">
        <w:rPr>
          <w:rFonts w:ascii="Times New Roman" w:hAnsi="Times New Roman"/>
        </w:rPr>
        <w:t xml:space="preserve">a parte interessada </w:t>
      </w:r>
      <w:r w:rsidR="005655D7" w:rsidRPr="003B0195">
        <w:rPr>
          <w:rFonts w:ascii="Times New Roman" w:hAnsi="Times New Roman"/>
        </w:rPr>
        <w:t>permaneceu silente.</w:t>
      </w:r>
    </w:p>
    <w:p w:rsidR="001C6DEB" w:rsidRPr="003B0195" w:rsidRDefault="001C6DEB">
      <w:pPr>
        <w:tabs>
          <w:tab w:val="left" w:pos="1418"/>
        </w:tabs>
        <w:jc w:val="both"/>
        <w:rPr>
          <w:rFonts w:ascii="Times New Roman" w:hAnsi="Times New Roman"/>
        </w:rPr>
      </w:pPr>
    </w:p>
    <w:p w:rsidR="001C6DEB" w:rsidRPr="003B0195" w:rsidRDefault="004017AE">
      <w:pPr>
        <w:tabs>
          <w:tab w:val="left" w:pos="1418"/>
        </w:tabs>
        <w:jc w:val="both"/>
        <w:rPr>
          <w:rFonts w:ascii="Times New Roman" w:hAnsi="Times New Roman"/>
        </w:rPr>
      </w:pPr>
      <w:r w:rsidRPr="003B0195">
        <w:rPr>
          <w:rFonts w:ascii="Times New Roman" w:hAnsi="Times New Roman"/>
        </w:rPr>
        <w:lastRenderedPageBreak/>
        <w:t xml:space="preserve">O processo, </w:t>
      </w:r>
      <w:r w:rsidR="0052057E" w:rsidRPr="003B0195">
        <w:rPr>
          <w:rFonts w:ascii="Times New Roman" w:hAnsi="Times New Roman"/>
        </w:rPr>
        <w:t>então, foi submetido à CEP-CAU/SC</w:t>
      </w:r>
      <w:r w:rsidRPr="003B0195">
        <w:rPr>
          <w:rFonts w:ascii="Times New Roman" w:hAnsi="Times New Roman"/>
        </w:rPr>
        <w:t xml:space="preserve"> para </w:t>
      </w:r>
      <w:r w:rsidR="0052057E" w:rsidRPr="003B0195">
        <w:rPr>
          <w:rFonts w:ascii="Times New Roman" w:hAnsi="Times New Roman"/>
        </w:rPr>
        <w:t xml:space="preserve">julgamento </w:t>
      </w:r>
      <w:r w:rsidRPr="003B0195">
        <w:rPr>
          <w:rFonts w:ascii="Times New Roman" w:hAnsi="Times New Roman"/>
        </w:rPr>
        <w:t xml:space="preserve">com base no art. 21, da Resolução CAU/BR nº 022/2012, que diz que compete a essa Comissão julgar à revelia a pessoa física ou jurídica autuada que não apresentar defesa </w:t>
      </w:r>
      <w:r w:rsidR="0052057E" w:rsidRPr="003B0195">
        <w:rPr>
          <w:rFonts w:ascii="Times New Roman" w:hAnsi="Times New Roman"/>
        </w:rPr>
        <w:t>tempestiva ao auto de infração.</w:t>
      </w:r>
    </w:p>
    <w:p w:rsidR="0052057E" w:rsidRPr="003B0195" w:rsidRDefault="0052057E" w:rsidP="003B0195">
      <w:pPr>
        <w:tabs>
          <w:tab w:val="left" w:pos="1418"/>
        </w:tabs>
        <w:jc w:val="both"/>
        <w:rPr>
          <w:rFonts w:ascii="Times New Roman" w:hAnsi="Times New Roman"/>
        </w:rPr>
      </w:pPr>
      <w:r w:rsidRPr="003B0195">
        <w:rPr>
          <w:rFonts w:ascii="Times New Roman" w:hAnsi="Times New Roman"/>
        </w:rPr>
        <w:t xml:space="preserve">O processo foi então encaminhado </w:t>
      </w:r>
      <w:r w:rsidR="001B60CB" w:rsidRPr="003B0195">
        <w:rPr>
          <w:rFonts w:ascii="Times New Roman" w:hAnsi="Times New Roman"/>
        </w:rPr>
        <w:t xml:space="preserve">ao Plenário do CAU/BR através do Ofício </w:t>
      </w:r>
      <w:r w:rsidR="001B60CB" w:rsidRPr="003B0195">
        <w:rPr>
          <w:rFonts w:ascii="Times New Roman" w:eastAsia="Calibri" w:hAnsi="Times New Roman"/>
        </w:rPr>
        <w:t>nº 128/2019/PRES/CAUSC,</w:t>
      </w:r>
      <w:r w:rsidRPr="003B0195">
        <w:rPr>
          <w:rFonts w:ascii="Times New Roman" w:hAnsi="Times New Roman"/>
        </w:rPr>
        <w:t xml:space="preserve"> conforme Deliber</w:t>
      </w:r>
      <w:r w:rsidR="001B60CB" w:rsidRPr="003B0195">
        <w:rPr>
          <w:rFonts w:ascii="Times New Roman" w:hAnsi="Times New Roman"/>
        </w:rPr>
        <w:t>ação nº24/2019 da CEP do CAU/SC, tendo em vista que os membros daquela Comissão se manifestaram suspeitos para relatar o processo.</w:t>
      </w:r>
    </w:p>
    <w:p w:rsidR="003B0195" w:rsidRPr="003B0195" w:rsidRDefault="003B0195" w:rsidP="003B0195">
      <w:pPr>
        <w:tabs>
          <w:tab w:val="left" w:pos="1418"/>
        </w:tabs>
        <w:jc w:val="both"/>
        <w:rPr>
          <w:rFonts w:ascii="Times New Roman" w:hAnsi="Times New Roman"/>
        </w:rPr>
      </w:pPr>
    </w:p>
    <w:p w:rsidR="001B60CB" w:rsidRPr="003B0195" w:rsidRDefault="001B60CB" w:rsidP="003B0195">
      <w:pPr>
        <w:suppressAutoHyphens w:val="0"/>
        <w:autoSpaceDE w:val="0"/>
        <w:adjustRightInd w:val="0"/>
        <w:jc w:val="both"/>
        <w:textAlignment w:val="auto"/>
        <w:rPr>
          <w:rFonts w:ascii="Times New Roman" w:hAnsi="Times New Roman"/>
        </w:rPr>
      </w:pPr>
      <w:r w:rsidRPr="003B0195">
        <w:rPr>
          <w:rFonts w:ascii="Times New Roman" w:hAnsi="Times New Roman"/>
        </w:rPr>
        <w:t>A Plenária do CAU/BR, por sua vez, decidiu pelo encaminhamento do processo para análise pela CEP-CAU/RS e julgamento em primeira instância pelo Plenário do CAU da unidade federativa, conforme Deliberação Plenária DPOBR Nº 0092-10/2019.</w:t>
      </w:r>
    </w:p>
    <w:p w:rsidR="001B60CB" w:rsidRPr="003B0195" w:rsidRDefault="001B60CB" w:rsidP="001B60CB">
      <w:pPr>
        <w:suppressAutoHyphens w:val="0"/>
        <w:autoSpaceDE w:val="0"/>
        <w:adjustRightInd w:val="0"/>
        <w:textAlignment w:val="auto"/>
        <w:rPr>
          <w:rFonts w:ascii="Times New Roman" w:hAnsi="Times New Roman"/>
        </w:rPr>
      </w:pPr>
    </w:p>
    <w:p w:rsidR="001C6DEB" w:rsidRPr="003B0195" w:rsidRDefault="001B60CB">
      <w:pPr>
        <w:tabs>
          <w:tab w:val="left" w:pos="1418"/>
        </w:tabs>
        <w:jc w:val="both"/>
        <w:rPr>
          <w:rFonts w:ascii="Times New Roman" w:hAnsi="Times New Roman"/>
        </w:rPr>
      </w:pPr>
      <w:r w:rsidRPr="003B0195">
        <w:rPr>
          <w:rFonts w:ascii="Times New Roman" w:hAnsi="Times New Roman"/>
        </w:rPr>
        <w:t xml:space="preserve">Cabe informar que em 24/11/2020 novas pesquisas foram realizadas e se averiguou que a </w:t>
      </w:r>
      <w:r w:rsidR="001A534C" w:rsidRPr="003B0195">
        <w:rPr>
          <w:rFonts w:ascii="Times New Roman" w:hAnsi="Times New Roman"/>
        </w:rPr>
        <w:t>empresa permanece sem registro no CAU e com CNPJ ativo perante a Receita Federal</w:t>
      </w:r>
      <w:r w:rsidRPr="003B0195">
        <w:rPr>
          <w:rFonts w:ascii="Times New Roman" w:hAnsi="Times New Roman"/>
        </w:rPr>
        <w:t>.</w:t>
      </w:r>
    </w:p>
    <w:p w:rsidR="001B60CB" w:rsidRPr="003B0195" w:rsidRDefault="001B60CB">
      <w:pPr>
        <w:tabs>
          <w:tab w:val="left" w:pos="1418"/>
        </w:tabs>
        <w:jc w:val="both"/>
        <w:rPr>
          <w:rFonts w:ascii="Times New Roman" w:hAnsi="Times New Roman"/>
        </w:rPr>
      </w:pPr>
    </w:p>
    <w:p w:rsidR="001C6DEB" w:rsidRPr="003B0195" w:rsidRDefault="004017AE">
      <w:pPr>
        <w:tabs>
          <w:tab w:val="left" w:pos="1418"/>
        </w:tabs>
        <w:jc w:val="both"/>
        <w:rPr>
          <w:rFonts w:ascii="Times New Roman" w:hAnsi="Times New Roman"/>
        </w:rPr>
      </w:pPr>
      <w:r w:rsidRPr="003B0195">
        <w:rPr>
          <w:rFonts w:ascii="Times New Roman" w:hAnsi="Times New Roman"/>
        </w:rPr>
        <w:t>É o relatório.</w:t>
      </w:r>
    </w:p>
    <w:p w:rsidR="001C6DEB" w:rsidRPr="003B0195" w:rsidRDefault="001C6DEB">
      <w:pPr>
        <w:tabs>
          <w:tab w:val="left" w:pos="1418"/>
        </w:tabs>
        <w:jc w:val="both"/>
        <w:rPr>
          <w:rFonts w:ascii="Times New Roman" w:hAnsi="Times New Roman"/>
        </w:rPr>
      </w:pPr>
    </w:p>
    <w:tbl>
      <w:tblPr>
        <w:tblW w:w="9356" w:type="dxa"/>
        <w:jc w:val="center"/>
        <w:tblCellMar>
          <w:left w:w="10" w:type="dxa"/>
          <w:right w:w="10" w:type="dxa"/>
        </w:tblCellMar>
        <w:tblLook w:val="04A0" w:firstRow="1" w:lastRow="0" w:firstColumn="1" w:lastColumn="0" w:noHBand="0" w:noVBand="1"/>
      </w:tblPr>
      <w:tblGrid>
        <w:gridCol w:w="9356"/>
      </w:tblGrid>
      <w:tr w:rsidR="001C6DEB" w:rsidRPr="003B0195" w:rsidTr="003B0195">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4017AE">
            <w:pPr>
              <w:tabs>
                <w:tab w:val="left" w:pos="0"/>
              </w:tabs>
              <w:jc w:val="center"/>
              <w:rPr>
                <w:rFonts w:ascii="Times New Roman" w:hAnsi="Times New Roman"/>
              </w:rPr>
            </w:pPr>
            <w:r w:rsidRPr="003B0195">
              <w:rPr>
                <w:rFonts w:ascii="Times New Roman" w:hAnsi="Times New Roman"/>
                <w:b/>
              </w:rPr>
              <w:t>VOTO FUNDAMENTADO</w:t>
            </w:r>
          </w:p>
        </w:tc>
      </w:tr>
    </w:tbl>
    <w:p w:rsidR="001C6DEB" w:rsidRPr="003B0195" w:rsidRDefault="001C6DEB">
      <w:pPr>
        <w:rPr>
          <w:rFonts w:ascii="Times New Roman" w:hAnsi="Times New Roman"/>
        </w:rPr>
      </w:pPr>
    </w:p>
    <w:p w:rsidR="001C6DEB" w:rsidRPr="003B0195" w:rsidRDefault="004017AE">
      <w:pPr>
        <w:tabs>
          <w:tab w:val="left" w:pos="1418"/>
        </w:tabs>
        <w:jc w:val="both"/>
        <w:rPr>
          <w:rFonts w:ascii="Times New Roman" w:hAnsi="Times New Roman"/>
        </w:rPr>
      </w:pPr>
      <w:r w:rsidRPr="003B0195">
        <w:rPr>
          <w:rFonts w:ascii="Times New Roman" w:hAnsi="Times New Roman"/>
        </w:rPr>
        <w:t xml:space="preserve">Da análise do conjunto probatório existente nos autos, depreende-se que a pessoa jurídica </w:t>
      </w:r>
      <w:r w:rsidR="00100E04" w:rsidRPr="003B0195">
        <w:rPr>
          <w:rFonts w:ascii="Times New Roman" w:hAnsi="Times New Roman"/>
        </w:rPr>
        <w:t>possui o termo “arquitetura” no seu nome fantasia e razão social, além de possuir o CNAE “Serviços de Arquitetura” como atividade principal,</w:t>
      </w:r>
      <w:r w:rsidRPr="003B0195">
        <w:rPr>
          <w:rFonts w:ascii="Times New Roman" w:hAnsi="Times New Roman"/>
        </w:rPr>
        <w:t xml:space="preserve"> conforme consta no comprovante do </w:t>
      </w:r>
      <w:r w:rsidR="00100E04" w:rsidRPr="003B0195">
        <w:rPr>
          <w:rFonts w:ascii="Times New Roman" w:hAnsi="Times New Roman"/>
        </w:rPr>
        <w:t xml:space="preserve">Cartão CNPJ da empresa. Estando, </w:t>
      </w:r>
      <w:r w:rsidR="001A534C" w:rsidRPr="003B0195">
        <w:rPr>
          <w:rFonts w:ascii="Times New Roman" w:hAnsi="Times New Roman"/>
        </w:rPr>
        <w:t>assim, sujeita</w:t>
      </w:r>
      <w:r w:rsidR="00100E04" w:rsidRPr="003B0195">
        <w:rPr>
          <w:rFonts w:ascii="Times New Roman" w:hAnsi="Times New Roman"/>
        </w:rPr>
        <w:t xml:space="preserve"> à fiscalização do CAU/UF</w:t>
      </w:r>
      <w:r w:rsidRPr="003B0195">
        <w:rPr>
          <w:rFonts w:ascii="Times New Roman" w:hAnsi="Times New Roman"/>
        </w:rPr>
        <w:t>.</w:t>
      </w:r>
    </w:p>
    <w:p w:rsidR="001C6DEB" w:rsidRPr="003B0195" w:rsidRDefault="001C6DEB">
      <w:pPr>
        <w:tabs>
          <w:tab w:val="left" w:pos="1418"/>
        </w:tabs>
        <w:jc w:val="both"/>
        <w:rPr>
          <w:rFonts w:ascii="Times New Roman" w:hAnsi="Times New Roman"/>
        </w:rPr>
      </w:pPr>
    </w:p>
    <w:p w:rsidR="001C6DEB" w:rsidRPr="003B0195" w:rsidRDefault="004017AE" w:rsidP="003B0195">
      <w:pPr>
        <w:tabs>
          <w:tab w:val="left" w:pos="1418"/>
        </w:tabs>
        <w:spacing w:after="120"/>
        <w:jc w:val="both"/>
        <w:rPr>
          <w:rFonts w:ascii="Times New Roman" w:hAnsi="Times New Roman"/>
        </w:rPr>
      </w:pPr>
      <w:r w:rsidRPr="003B0195">
        <w:rPr>
          <w:rFonts w:ascii="Times New Roman" w:hAnsi="Times New Roman"/>
        </w:rPr>
        <w:t>Ressa</w:t>
      </w:r>
      <w:r w:rsidR="00391DD9" w:rsidRPr="003B0195">
        <w:rPr>
          <w:rFonts w:ascii="Times New Roman" w:hAnsi="Times New Roman"/>
        </w:rPr>
        <w:t>lta-se que</w:t>
      </w:r>
      <w:r w:rsidRPr="003B0195">
        <w:rPr>
          <w:rFonts w:ascii="Times New Roman" w:hAnsi="Times New Roman"/>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rsidR="001C6DEB" w:rsidRPr="003B0195" w:rsidRDefault="004017AE" w:rsidP="003B0195">
      <w:pPr>
        <w:tabs>
          <w:tab w:val="left" w:pos="851"/>
        </w:tabs>
        <w:spacing w:after="120"/>
        <w:ind w:left="2268"/>
        <w:jc w:val="both"/>
        <w:rPr>
          <w:rFonts w:ascii="Times New Roman" w:hAnsi="Times New Roman"/>
          <w:i/>
          <w:sz w:val="22"/>
          <w:szCs w:val="22"/>
        </w:rPr>
      </w:pPr>
      <w:r w:rsidRPr="003B0195">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1C6DEB" w:rsidRPr="00EE16AF" w:rsidRDefault="004017AE" w:rsidP="003B0195">
      <w:pPr>
        <w:tabs>
          <w:tab w:val="left" w:pos="1418"/>
        </w:tabs>
        <w:spacing w:after="120"/>
        <w:jc w:val="both"/>
        <w:rPr>
          <w:rFonts w:ascii="Times New Roman" w:hAnsi="Times New Roman"/>
          <w:sz w:val="22"/>
          <w:szCs w:val="22"/>
        </w:rPr>
      </w:pPr>
      <w:r w:rsidRPr="00EE16AF">
        <w:rPr>
          <w:rFonts w:ascii="Times New Roman" w:hAnsi="Times New Roman"/>
          <w:sz w:val="22"/>
          <w:szCs w:val="22"/>
        </w:rPr>
        <w:t>Salienta-se que o art. 7º, da Lei nº 12.378/2010, estipula:</w:t>
      </w:r>
    </w:p>
    <w:p w:rsidR="001C6DEB" w:rsidRPr="003B0195" w:rsidRDefault="004017AE" w:rsidP="003B0195">
      <w:pPr>
        <w:tabs>
          <w:tab w:val="left" w:pos="851"/>
        </w:tabs>
        <w:spacing w:after="120"/>
        <w:ind w:left="2268"/>
        <w:jc w:val="both"/>
        <w:rPr>
          <w:rFonts w:ascii="Times New Roman" w:hAnsi="Times New Roman"/>
          <w:i/>
          <w:sz w:val="22"/>
          <w:szCs w:val="22"/>
        </w:rPr>
      </w:pPr>
      <w:r w:rsidRPr="003B0195">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1C6DEB" w:rsidRPr="00EE16AF" w:rsidRDefault="004017AE">
      <w:pPr>
        <w:tabs>
          <w:tab w:val="left" w:pos="1418"/>
        </w:tabs>
        <w:jc w:val="both"/>
        <w:rPr>
          <w:rFonts w:ascii="Times New Roman" w:hAnsi="Times New Roman"/>
          <w:sz w:val="22"/>
          <w:szCs w:val="22"/>
        </w:rPr>
      </w:pPr>
      <w:r w:rsidRPr="00EE16AF">
        <w:rPr>
          <w:rFonts w:ascii="Times New Roman" w:hAnsi="Times New Roman"/>
          <w:sz w:val="22"/>
          <w:szCs w:val="22"/>
        </w:rPr>
        <w:t>Além disso, a Resolução do CAU/BR nº 028/2012, que trata do registro de pessoa jurídica no CAU, assim estabelece:</w:t>
      </w:r>
    </w:p>
    <w:p w:rsidR="001C6DEB" w:rsidRPr="003B0195" w:rsidRDefault="004017AE" w:rsidP="003B0195">
      <w:pPr>
        <w:tabs>
          <w:tab w:val="left" w:pos="851"/>
        </w:tabs>
        <w:ind w:left="2268"/>
        <w:jc w:val="both"/>
        <w:rPr>
          <w:rFonts w:ascii="Times New Roman" w:hAnsi="Times New Roman"/>
          <w:sz w:val="28"/>
        </w:rPr>
      </w:pPr>
      <w:r w:rsidRPr="003B0195">
        <w:rPr>
          <w:rFonts w:ascii="Times New Roman" w:hAnsi="Times New Roman"/>
          <w:i/>
          <w:sz w:val="22"/>
          <w:szCs w:val="22"/>
        </w:rPr>
        <w:t xml:space="preserve">Art. 1° Em cumprimento ao disposto na Lei n° 12.378, de 31 de dezembro de 2010, </w:t>
      </w:r>
      <w:r w:rsidRPr="003B0195">
        <w:rPr>
          <w:rFonts w:ascii="Times New Roman" w:hAnsi="Times New Roman"/>
          <w:b/>
          <w:i/>
          <w:sz w:val="22"/>
          <w:szCs w:val="22"/>
        </w:rPr>
        <w:t>ficam obrigadas ao registro nos Conselhos de Arquitetura e Urbanismo dos Estados e do Distrito Federal (CAU/UF)</w:t>
      </w:r>
      <w:r w:rsidRPr="003B0195">
        <w:rPr>
          <w:rFonts w:ascii="Times New Roman" w:hAnsi="Times New Roman"/>
          <w:i/>
          <w:sz w:val="22"/>
          <w:szCs w:val="22"/>
        </w:rPr>
        <w:t>:</w:t>
      </w:r>
    </w:p>
    <w:p w:rsidR="001C6DEB" w:rsidRPr="003B0195" w:rsidRDefault="004017AE" w:rsidP="003B0195">
      <w:pPr>
        <w:tabs>
          <w:tab w:val="left" w:pos="851"/>
        </w:tabs>
        <w:ind w:left="2268"/>
        <w:jc w:val="both"/>
        <w:rPr>
          <w:rFonts w:ascii="Times New Roman" w:hAnsi="Times New Roman"/>
          <w:b/>
          <w:i/>
          <w:sz w:val="22"/>
          <w:szCs w:val="22"/>
        </w:rPr>
      </w:pPr>
      <w:r w:rsidRPr="003B0195">
        <w:rPr>
          <w:rFonts w:ascii="Times New Roman" w:hAnsi="Times New Roman"/>
          <w:b/>
          <w:i/>
          <w:sz w:val="22"/>
          <w:szCs w:val="22"/>
        </w:rPr>
        <w:t>I – as pessoas jurídicas que tenham por objetivo social o exercício de atividades profissionais privativas de arquitetos e urbanistas;</w:t>
      </w:r>
    </w:p>
    <w:p w:rsidR="001C6DEB" w:rsidRPr="003B0195" w:rsidRDefault="004017AE" w:rsidP="003B0195">
      <w:pPr>
        <w:tabs>
          <w:tab w:val="left" w:pos="851"/>
        </w:tabs>
        <w:ind w:left="2268"/>
        <w:jc w:val="both"/>
        <w:rPr>
          <w:rFonts w:ascii="Times New Roman" w:hAnsi="Times New Roman"/>
          <w:b/>
          <w:i/>
          <w:sz w:val="22"/>
          <w:szCs w:val="22"/>
        </w:rPr>
      </w:pPr>
      <w:r w:rsidRPr="003B0195">
        <w:rPr>
          <w:rFonts w:ascii="Times New Roman" w:hAnsi="Times New Roman"/>
          <w:b/>
          <w:i/>
          <w:sz w:val="22"/>
          <w:szCs w:val="22"/>
        </w:rPr>
        <w:t xml:space="preserve">II – as pessoas jurídicas que tenham em seus objetivos sociais o exercício de atividades privativas de arquitetos e urbanistas cumulativamente com </w:t>
      </w:r>
      <w:r w:rsidRPr="003B0195">
        <w:rPr>
          <w:rFonts w:ascii="Times New Roman" w:hAnsi="Times New Roman"/>
          <w:b/>
          <w:i/>
          <w:sz w:val="22"/>
          <w:szCs w:val="22"/>
        </w:rPr>
        <w:lastRenderedPageBreak/>
        <w:t>atividades em outras áreas profissionais não vinculadas ao Conselho de Arquitetura e Urbanismo;</w:t>
      </w:r>
    </w:p>
    <w:p w:rsidR="001C6DEB" w:rsidRPr="003B0195" w:rsidRDefault="004017AE" w:rsidP="003B0195">
      <w:pPr>
        <w:tabs>
          <w:tab w:val="left" w:pos="851"/>
        </w:tabs>
        <w:ind w:left="2268"/>
        <w:jc w:val="both"/>
        <w:rPr>
          <w:rFonts w:ascii="Times New Roman" w:hAnsi="Times New Roman"/>
          <w:b/>
          <w:i/>
          <w:sz w:val="22"/>
          <w:szCs w:val="22"/>
        </w:rPr>
      </w:pPr>
      <w:r w:rsidRPr="003B0195">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rsidR="001C6DEB" w:rsidRPr="003B0195" w:rsidRDefault="004017AE" w:rsidP="003B0195">
      <w:pPr>
        <w:tabs>
          <w:tab w:val="left" w:pos="851"/>
        </w:tabs>
        <w:ind w:left="2268"/>
        <w:jc w:val="both"/>
        <w:rPr>
          <w:rFonts w:ascii="Times New Roman" w:hAnsi="Times New Roman"/>
          <w:i/>
          <w:sz w:val="22"/>
          <w:szCs w:val="22"/>
        </w:rPr>
      </w:pPr>
      <w:r w:rsidRPr="003B0195">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1C6DEB" w:rsidRPr="003B0195" w:rsidRDefault="004017AE" w:rsidP="003B0195">
      <w:pPr>
        <w:tabs>
          <w:tab w:val="left" w:pos="851"/>
        </w:tabs>
        <w:spacing w:after="120"/>
        <w:ind w:left="2268"/>
        <w:jc w:val="both"/>
        <w:rPr>
          <w:rFonts w:ascii="Times New Roman" w:hAnsi="Times New Roman"/>
          <w:i/>
          <w:sz w:val="22"/>
          <w:szCs w:val="22"/>
        </w:rPr>
      </w:pPr>
      <w:r w:rsidRPr="003B0195">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1C6DEB" w:rsidRPr="003B0195" w:rsidRDefault="00F86755">
      <w:pPr>
        <w:tabs>
          <w:tab w:val="left" w:pos="1418"/>
        </w:tabs>
        <w:jc w:val="both"/>
        <w:rPr>
          <w:rFonts w:ascii="Times New Roman" w:hAnsi="Times New Roman"/>
          <w:sz w:val="28"/>
        </w:rPr>
      </w:pPr>
      <w:r w:rsidRPr="003B0195">
        <w:rPr>
          <w:rFonts w:ascii="Times New Roman" w:hAnsi="Times New Roman"/>
          <w:szCs w:val="22"/>
        </w:rPr>
        <w:t>Além disto</w:t>
      </w:r>
      <w:r w:rsidR="004017AE" w:rsidRPr="003B0195">
        <w:rPr>
          <w:rFonts w:ascii="Times New Roman" w:hAnsi="Times New Roman"/>
          <w:szCs w:val="22"/>
        </w:rPr>
        <w:t>, uma vez que a pessoa jurídica possui em seu nome fantasia o termo “</w:t>
      </w:r>
      <w:r w:rsidR="004017AE" w:rsidRPr="003B0195">
        <w:rPr>
          <w:rFonts w:ascii="Times New Roman" w:hAnsi="Times New Roman"/>
          <w:i/>
          <w:szCs w:val="22"/>
        </w:rPr>
        <w:t>arquitetura</w:t>
      </w:r>
      <w:r w:rsidR="004017AE" w:rsidRPr="003B0195">
        <w:rPr>
          <w:rFonts w:ascii="Times New Roman" w:hAnsi="Times New Roman"/>
          <w:szCs w:val="22"/>
        </w:rPr>
        <w:t>”, demonstra que esta foi constituída por profissional da área, com o o</w:t>
      </w:r>
      <w:r w:rsidRPr="003B0195">
        <w:rPr>
          <w:rFonts w:ascii="Times New Roman" w:hAnsi="Times New Roman"/>
          <w:szCs w:val="22"/>
        </w:rPr>
        <w:t>bjetivo de explorar a profissão</w:t>
      </w:r>
      <w:r w:rsidR="00100E04" w:rsidRPr="003B0195">
        <w:rPr>
          <w:rFonts w:ascii="Times New Roman" w:hAnsi="Times New Roman"/>
          <w:szCs w:val="22"/>
        </w:rPr>
        <w:t>.</w:t>
      </w:r>
    </w:p>
    <w:p w:rsidR="001C6DEB" w:rsidRPr="003B0195" w:rsidRDefault="001C6DEB">
      <w:pPr>
        <w:tabs>
          <w:tab w:val="left" w:pos="1418"/>
        </w:tabs>
        <w:jc w:val="both"/>
        <w:rPr>
          <w:rFonts w:ascii="Times New Roman" w:hAnsi="Times New Roman"/>
          <w:szCs w:val="22"/>
        </w:rPr>
      </w:pPr>
    </w:p>
    <w:p w:rsidR="00FF45B5" w:rsidRPr="003B0195" w:rsidRDefault="00FF45B5">
      <w:pPr>
        <w:tabs>
          <w:tab w:val="left" w:pos="1418"/>
        </w:tabs>
        <w:jc w:val="both"/>
        <w:rPr>
          <w:rFonts w:ascii="Times New Roman" w:hAnsi="Times New Roman"/>
          <w:szCs w:val="22"/>
        </w:rPr>
      </w:pPr>
      <w:r w:rsidRPr="003B0195">
        <w:rPr>
          <w:rFonts w:ascii="Times New Roman" w:hAnsi="Times New Roman"/>
          <w:szCs w:val="22"/>
        </w:rPr>
        <w:t>A empresa, porém, enviou, em data anterior à Notificação Preventiva, documentos comprobatórios de sua inatividade fiscal. Diferentemente do CAU/SC, é de entendimento do CAU/RS que o registro de pessoas jurídicas inativas fiscalmente não é obrigatório. Entende-se pela inatividade</w:t>
      </w:r>
      <w:r w:rsidR="00F86755" w:rsidRPr="003B0195">
        <w:rPr>
          <w:rFonts w:ascii="Times New Roman" w:hAnsi="Times New Roman"/>
          <w:szCs w:val="22"/>
        </w:rPr>
        <w:t>,</w:t>
      </w:r>
      <w:r w:rsidRPr="003B0195">
        <w:rPr>
          <w:rFonts w:ascii="Times New Roman" w:hAnsi="Times New Roman"/>
          <w:szCs w:val="22"/>
        </w:rPr>
        <w:t xml:space="preserve"> que tais empresas não estão efetivamente prestando serviços de arquitetura.</w:t>
      </w:r>
    </w:p>
    <w:p w:rsidR="00FF45B5" w:rsidRPr="003B0195" w:rsidRDefault="00FF45B5">
      <w:pPr>
        <w:tabs>
          <w:tab w:val="left" w:pos="1418"/>
        </w:tabs>
        <w:jc w:val="both"/>
        <w:rPr>
          <w:rFonts w:ascii="Times New Roman" w:hAnsi="Times New Roman"/>
          <w:szCs w:val="22"/>
        </w:rPr>
      </w:pPr>
      <w:r w:rsidRPr="003B0195">
        <w:rPr>
          <w:rFonts w:ascii="Times New Roman" w:hAnsi="Times New Roman"/>
          <w:szCs w:val="22"/>
        </w:rPr>
        <w:t>O CAU/RS não vê como necessário o registro de Pessoa Jurídica e posterior interrupção deste registro, mediante compro</w:t>
      </w:r>
      <w:r w:rsidR="00F86755" w:rsidRPr="003B0195">
        <w:rPr>
          <w:rFonts w:ascii="Times New Roman" w:hAnsi="Times New Roman"/>
          <w:szCs w:val="22"/>
        </w:rPr>
        <w:t>vação de inatividade da empresa, como é prática do CAU/SC.</w:t>
      </w:r>
    </w:p>
    <w:p w:rsidR="00FF45B5" w:rsidRPr="003B0195" w:rsidRDefault="00FF45B5">
      <w:pPr>
        <w:tabs>
          <w:tab w:val="left" w:pos="1418"/>
        </w:tabs>
        <w:jc w:val="both"/>
        <w:rPr>
          <w:rFonts w:ascii="Times New Roman" w:hAnsi="Times New Roman"/>
          <w:szCs w:val="22"/>
        </w:rPr>
      </w:pPr>
    </w:p>
    <w:p w:rsidR="00100E04" w:rsidRPr="003B0195" w:rsidRDefault="00FF45B5">
      <w:pPr>
        <w:tabs>
          <w:tab w:val="left" w:pos="1418"/>
        </w:tabs>
        <w:jc w:val="both"/>
        <w:rPr>
          <w:rFonts w:ascii="Times New Roman" w:hAnsi="Times New Roman"/>
          <w:szCs w:val="22"/>
        </w:rPr>
      </w:pPr>
      <w:r w:rsidRPr="003B0195">
        <w:rPr>
          <w:rFonts w:ascii="Times New Roman" w:hAnsi="Times New Roman"/>
          <w:szCs w:val="22"/>
        </w:rPr>
        <w:t xml:space="preserve">Sendo assim, </w:t>
      </w:r>
      <w:r w:rsidR="00F86755" w:rsidRPr="003B0195">
        <w:rPr>
          <w:rFonts w:ascii="Times New Roman" w:hAnsi="Times New Roman"/>
          <w:szCs w:val="22"/>
        </w:rPr>
        <w:t>entende</w:t>
      </w:r>
      <w:r w:rsidRPr="003B0195">
        <w:rPr>
          <w:rFonts w:ascii="Times New Roman" w:hAnsi="Times New Roman"/>
          <w:szCs w:val="22"/>
        </w:rPr>
        <w:t>-se</w:t>
      </w:r>
      <w:r w:rsidR="004017AE" w:rsidRPr="003B0195">
        <w:rPr>
          <w:rFonts w:ascii="Times New Roman" w:hAnsi="Times New Roman"/>
          <w:szCs w:val="22"/>
        </w:rPr>
        <w:t xml:space="preserve"> que </w:t>
      </w:r>
      <w:r w:rsidR="00100E04" w:rsidRPr="003B0195">
        <w:rPr>
          <w:rFonts w:ascii="Times New Roman" w:hAnsi="Times New Roman"/>
          <w:szCs w:val="22"/>
        </w:rPr>
        <w:t>a Notificação Preventiva e o Auto de Infração foram</w:t>
      </w:r>
      <w:r w:rsidR="004017AE" w:rsidRPr="003B0195">
        <w:rPr>
          <w:rFonts w:ascii="Times New Roman" w:hAnsi="Times New Roman"/>
          <w:szCs w:val="22"/>
        </w:rPr>
        <w:t xml:space="preserve"> constituído</w:t>
      </w:r>
      <w:r w:rsidR="00100E04" w:rsidRPr="003B0195">
        <w:rPr>
          <w:rFonts w:ascii="Times New Roman" w:hAnsi="Times New Roman"/>
          <w:szCs w:val="22"/>
        </w:rPr>
        <w:t>s</w:t>
      </w:r>
      <w:r w:rsidR="004017AE" w:rsidRPr="003B0195">
        <w:rPr>
          <w:rFonts w:ascii="Times New Roman" w:hAnsi="Times New Roman"/>
          <w:szCs w:val="22"/>
        </w:rPr>
        <w:t xml:space="preserve"> de forma irregular, </w:t>
      </w:r>
      <w:r w:rsidR="00100E04" w:rsidRPr="003B0195">
        <w:rPr>
          <w:rFonts w:ascii="Times New Roman" w:hAnsi="Times New Roman"/>
          <w:szCs w:val="22"/>
        </w:rPr>
        <w:t xml:space="preserve">uma vez que a empresa </w:t>
      </w:r>
      <w:r w:rsidR="00F86755" w:rsidRPr="003B0195">
        <w:rPr>
          <w:rFonts w:ascii="Times New Roman" w:hAnsi="Times New Roman"/>
          <w:szCs w:val="22"/>
        </w:rPr>
        <w:t>comprovou sua inatividade fiscal.</w:t>
      </w:r>
    </w:p>
    <w:p w:rsidR="001C6DEB" w:rsidRPr="003B0195" w:rsidRDefault="00100E04">
      <w:pPr>
        <w:tabs>
          <w:tab w:val="left" w:pos="1418"/>
        </w:tabs>
        <w:jc w:val="both"/>
        <w:rPr>
          <w:rFonts w:ascii="Times New Roman" w:hAnsi="Times New Roman"/>
          <w:szCs w:val="22"/>
        </w:rPr>
      </w:pPr>
      <w:r w:rsidRPr="003B0195">
        <w:rPr>
          <w:rFonts w:ascii="Times New Roman" w:hAnsi="Times New Roman"/>
          <w:szCs w:val="22"/>
        </w:rPr>
        <w:t xml:space="preserve"> </w:t>
      </w:r>
    </w:p>
    <w:tbl>
      <w:tblPr>
        <w:tblW w:w="9356" w:type="dxa"/>
        <w:jc w:val="center"/>
        <w:tblCellMar>
          <w:left w:w="10" w:type="dxa"/>
          <w:right w:w="10" w:type="dxa"/>
        </w:tblCellMar>
        <w:tblLook w:val="04A0" w:firstRow="1" w:lastRow="0" w:firstColumn="1" w:lastColumn="0" w:noHBand="0" w:noVBand="1"/>
      </w:tblPr>
      <w:tblGrid>
        <w:gridCol w:w="9356"/>
      </w:tblGrid>
      <w:tr w:rsidR="001C6DEB" w:rsidRPr="003B0195" w:rsidTr="003B0195">
        <w:trPr>
          <w:trHeight w:hRule="exact" w:val="312"/>
          <w:jc w:val="center"/>
        </w:trPr>
        <w:tc>
          <w:tcPr>
            <w:tcW w:w="9356" w:type="dxa"/>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1C6DEB" w:rsidRPr="003B0195" w:rsidRDefault="004017AE">
            <w:pPr>
              <w:tabs>
                <w:tab w:val="left" w:pos="0"/>
              </w:tabs>
              <w:jc w:val="center"/>
              <w:rPr>
                <w:rFonts w:ascii="Times New Roman" w:hAnsi="Times New Roman"/>
                <w:sz w:val="28"/>
              </w:rPr>
            </w:pPr>
            <w:r w:rsidRPr="003B0195">
              <w:rPr>
                <w:rFonts w:ascii="Times New Roman" w:hAnsi="Times New Roman"/>
                <w:b/>
                <w:szCs w:val="22"/>
              </w:rPr>
              <w:t>CONCLUSÃO</w:t>
            </w:r>
          </w:p>
        </w:tc>
      </w:tr>
    </w:tbl>
    <w:p w:rsidR="001C6DEB" w:rsidRPr="003B0195" w:rsidRDefault="001C6DEB">
      <w:pPr>
        <w:rPr>
          <w:rFonts w:ascii="Times New Roman" w:hAnsi="Times New Roman"/>
          <w:szCs w:val="22"/>
        </w:rPr>
      </w:pPr>
    </w:p>
    <w:p w:rsidR="001C6DEB" w:rsidRPr="003B0195" w:rsidRDefault="004017AE">
      <w:pPr>
        <w:tabs>
          <w:tab w:val="left" w:pos="1418"/>
        </w:tabs>
        <w:jc w:val="both"/>
        <w:rPr>
          <w:rFonts w:ascii="Times New Roman" w:hAnsi="Times New Roman"/>
          <w:szCs w:val="22"/>
        </w:rPr>
      </w:pPr>
      <w:r w:rsidRPr="003B0195">
        <w:rPr>
          <w:rFonts w:ascii="Times New Roman" w:hAnsi="Times New Roman"/>
          <w:szCs w:val="22"/>
        </w:rPr>
        <w:t xml:space="preserve">Deste modo, demonstrado que o Auto de Infração foi constituído de forma irregular, </w:t>
      </w:r>
      <w:r w:rsidR="00A16D96" w:rsidRPr="003B0195">
        <w:rPr>
          <w:rFonts w:ascii="Times New Roman" w:hAnsi="Times New Roman"/>
          <w:szCs w:val="22"/>
        </w:rPr>
        <w:t>uma vez que a empresa comprovou sua inatividade</w:t>
      </w:r>
      <w:r w:rsidRPr="003B0195">
        <w:rPr>
          <w:rFonts w:ascii="Times New Roman" w:hAnsi="Times New Roman"/>
          <w:szCs w:val="22"/>
        </w:rPr>
        <w:t>, opino pela extinção do processo, com fulcro no art. 44, incisos I e III, c/c art. 38, inciso III, da citada Resolução.</w:t>
      </w:r>
    </w:p>
    <w:p w:rsidR="001C6DEB" w:rsidRPr="003B0195" w:rsidRDefault="001C6DEB">
      <w:pPr>
        <w:tabs>
          <w:tab w:val="left" w:pos="1418"/>
        </w:tabs>
        <w:jc w:val="both"/>
        <w:rPr>
          <w:rFonts w:ascii="Times New Roman" w:hAnsi="Times New Roman"/>
          <w:szCs w:val="22"/>
        </w:rPr>
      </w:pPr>
    </w:p>
    <w:p w:rsidR="001C6DEB" w:rsidRPr="003B0195" w:rsidRDefault="004017AE">
      <w:pPr>
        <w:tabs>
          <w:tab w:val="left" w:pos="1418"/>
        </w:tabs>
        <w:jc w:val="both"/>
        <w:rPr>
          <w:rFonts w:ascii="Times New Roman" w:hAnsi="Times New Roman"/>
          <w:szCs w:val="22"/>
        </w:rPr>
      </w:pPr>
      <w:r w:rsidRPr="003B0195">
        <w:rPr>
          <w:rFonts w:ascii="Times New Roman" w:hAnsi="Times New Roman"/>
          <w:szCs w:val="22"/>
        </w:rPr>
        <w:t>Apó</w:t>
      </w:r>
      <w:r w:rsidR="00A16D96" w:rsidRPr="003B0195">
        <w:rPr>
          <w:rFonts w:ascii="Times New Roman" w:hAnsi="Times New Roman"/>
          <w:szCs w:val="22"/>
        </w:rPr>
        <w:t>s o trânsito em julgado, remeta</w:t>
      </w:r>
      <w:r w:rsidRPr="003B0195">
        <w:rPr>
          <w:rFonts w:ascii="Times New Roman" w:hAnsi="Times New Roman"/>
          <w:szCs w:val="22"/>
        </w:rPr>
        <w:t xml:space="preserve">-se </w:t>
      </w:r>
      <w:r w:rsidR="00A16D96" w:rsidRPr="003B0195">
        <w:rPr>
          <w:rFonts w:ascii="Times New Roman" w:hAnsi="Times New Roman"/>
          <w:szCs w:val="22"/>
        </w:rPr>
        <w:t xml:space="preserve">a decisão para </w:t>
      </w:r>
      <w:bookmarkStart w:id="0" w:name="_GoBack"/>
      <w:bookmarkEnd w:id="0"/>
      <w:r w:rsidR="00A16D96" w:rsidRPr="003B0195">
        <w:rPr>
          <w:rFonts w:ascii="Times New Roman" w:hAnsi="Times New Roman"/>
          <w:szCs w:val="22"/>
        </w:rPr>
        <w:t xml:space="preserve">a CEP do CAU/SC e </w:t>
      </w:r>
      <w:r w:rsidRPr="003B0195">
        <w:rPr>
          <w:rFonts w:ascii="Times New Roman" w:hAnsi="Times New Roman"/>
          <w:szCs w:val="22"/>
        </w:rPr>
        <w:t xml:space="preserve">os autos à </w:t>
      </w:r>
      <w:r w:rsidR="00A16D96" w:rsidRPr="003B0195">
        <w:rPr>
          <w:rFonts w:ascii="Times New Roman" w:hAnsi="Times New Roman"/>
          <w:szCs w:val="22"/>
        </w:rPr>
        <w:t>Unidade de Fiscalização do CAU/SC</w:t>
      </w:r>
      <w:r w:rsidRPr="003B0195">
        <w:rPr>
          <w:rFonts w:ascii="Times New Roman" w:hAnsi="Times New Roman"/>
          <w:szCs w:val="22"/>
        </w:rPr>
        <w:t>, para que, nos termos do art. 17, da Resolução CAU/BR nº 022/2012, averigue a regularidade da situação que deu origem ao Auto de</w:t>
      </w:r>
      <w:r w:rsidR="00A16D96" w:rsidRPr="003B0195">
        <w:rPr>
          <w:rFonts w:ascii="Times New Roman" w:hAnsi="Times New Roman"/>
          <w:szCs w:val="22"/>
        </w:rPr>
        <w:t xml:space="preserve"> Infração do presente processo, requisitando novamente os documentos atualizados que comprovem a inatividade da empresa.</w:t>
      </w:r>
    </w:p>
    <w:p w:rsidR="00A16D96" w:rsidRPr="003B0195" w:rsidRDefault="00A16D96">
      <w:pPr>
        <w:tabs>
          <w:tab w:val="left" w:pos="1418"/>
        </w:tabs>
        <w:jc w:val="both"/>
        <w:rPr>
          <w:rFonts w:ascii="Times New Roman" w:hAnsi="Times New Roman"/>
          <w:szCs w:val="22"/>
        </w:rPr>
      </w:pPr>
    </w:p>
    <w:p w:rsidR="003B0195" w:rsidRPr="003B0195" w:rsidRDefault="003B0195">
      <w:pPr>
        <w:tabs>
          <w:tab w:val="left" w:pos="1418"/>
        </w:tabs>
        <w:jc w:val="both"/>
        <w:rPr>
          <w:rFonts w:ascii="Times New Roman" w:hAnsi="Times New Roman"/>
          <w:szCs w:val="22"/>
        </w:rPr>
      </w:pPr>
    </w:p>
    <w:p w:rsidR="001C6DEB" w:rsidRPr="003B0195" w:rsidRDefault="004017AE">
      <w:pPr>
        <w:tabs>
          <w:tab w:val="left" w:pos="1418"/>
        </w:tabs>
        <w:jc w:val="center"/>
        <w:rPr>
          <w:rFonts w:ascii="Times New Roman" w:hAnsi="Times New Roman"/>
          <w:szCs w:val="22"/>
        </w:rPr>
      </w:pPr>
      <w:r w:rsidRPr="003B0195">
        <w:rPr>
          <w:rFonts w:ascii="Times New Roman" w:hAnsi="Times New Roman"/>
          <w:szCs w:val="22"/>
        </w:rPr>
        <w:t xml:space="preserve">Porto Alegre – RS, </w:t>
      </w:r>
      <w:r w:rsidR="00100E04" w:rsidRPr="003B0195">
        <w:rPr>
          <w:rFonts w:ascii="Times New Roman" w:hAnsi="Times New Roman"/>
          <w:szCs w:val="22"/>
        </w:rPr>
        <w:t>03 de dezembro de 2020.</w:t>
      </w:r>
    </w:p>
    <w:p w:rsidR="003B0195" w:rsidRPr="003B0195" w:rsidRDefault="003B0195">
      <w:pPr>
        <w:tabs>
          <w:tab w:val="left" w:pos="1418"/>
        </w:tabs>
        <w:jc w:val="center"/>
        <w:rPr>
          <w:rFonts w:ascii="Times New Roman" w:hAnsi="Times New Roman"/>
          <w:szCs w:val="22"/>
        </w:rPr>
      </w:pPr>
    </w:p>
    <w:p w:rsidR="001C6DEB" w:rsidRPr="003B0195" w:rsidRDefault="001C6DEB">
      <w:pPr>
        <w:tabs>
          <w:tab w:val="left" w:pos="1418"/>
        </w:tabs>
        <w:jc w:val="center"/>
        <w:rPr>
          <w:rFonts w:ascii="Times New Roman" w:hAnsi="Times New Roman"/>
          <w:szCs w:val="22"/>
        </w:rPr>
      </w:pPr>
    </w:p>
    <w:p w:rsidR="001C6DEB" w:rsidRPr="003B0195" w:rsidRDefault="001C6DEB">
      <w:pPr>
        <w:tabs>
          <w:tab w:val="left" w:pos="1418"/>
        </w:tabs>
        <w:jc w:val="center"/>
        <w:rPr>
          <w:rFonts w:ascii="Times New Roman" w:hAnsi="Times New Roman"/>
          <w:szCs w:val="22"/>
        </w:rPr>
      </w:pPr>
    </w:p>
    <w:p w:rsidR="003B0195" w:rsidRPr="003B0195" w:rsidRDefault="003B0195">
      <w:pPr>
        <w:tabs>
          <w:tab w:val="left" w:pos="1418"/>
        </w:tabs>
        <w:jc w:val="center"/>
        <w:rPr>
          <w:rFonts w:ascii="Times New Roman" w:hAnsi="Times New Roman"/>
          <w:szCs w:val="22"/>
        </w:rPr>
      </w:pPr>
    </w:p>
    <w:p w:rsidR="001C6DEB" w:rsidRPr="003B0195" w:rsidRDefault="003B0195">
      <w:pPr>
        <w:tabs>
          <w:tab w:val="left" w:pos="1418"/>
        </w:tabs>
        <w:jc w:val="center"/>
        <w:rPr>
          <w:rFonts w:ascii="Times New Roman" w:hAnsi="Times New Roman"/>
          <w:sz w:val="28"/>
        </w:rPr>
      </w:pPr>
      <w:r w:rsidRPr="003B0195">
        <w:rPr>
          <w:rFonts w:ascii="Times New Roman" w:hAnsi="Times New Roman"/>
          <w:sz w:val="28"/>
        </w:rPr>
        <w:t>ROBERTO LUÍS DECÓ</w:t>
      </w:r>
    </w:p>
    <w:p w:rsidR="001C6DEB" w:rsidRPr="00EE16AF" w:rsidRDefault="00100E04" w:rsidP="00D55B36">
      <w:pPr>
        <w:tabs>
          <w:tab w:val="left" w:pos="1418"/>
        </w:tabs>
        <w:jc w:val="center"/>
        <w:rPr>
          <w:rFonts w:ascii="Times New Roman" w:hAnsi="Times New Roman"/>
          <w:sz w:val="22"/>
          <w:szCs w:val="22"/>
        </w:rPr>
      </w:pPr>
      <w:r w:rsidRPr="003B0195">
        <w:rPr>
          <w:rFonts w:ascii="Times New Roman" w:hAnsi="Times New Roman"/>
          <w:szCs w:val="22"/>
        </w:rPr>
        <w:t>Conselheiro</w:t>
      </w:r>
      <w:r w:rsidR="00D55B36">
        <w:rPr>
          <w:rFonts w:ascii="Times New Roman" w:hAnsi="Times New Roman"/>
          <w:szCs w:val="22"/>
        </w:rPr>
        <w:t xml:space="preserve"> Relator</w:t>
      </w:r>
    </w:p>
    <w:sectPr w:rsidR="001C6DEB" w:rsidRPr="00EE16AF">
      <w:headerReference w:type="default" r:id="rId7"/>
      <w:footerReference w:type="default" r:id="rId8"/>
      <w:pgSz w:w="11900" w:h="16840"/>
      <w:pgMar w:top="1985" w:right="851" w:bottom="851" w:left="1701" w:header="141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618" w:rsidRDefault="004017AE">
      <w:r>
        <w:separator/>
      </w:r>
    </w:p>
  </w:endnote>
  <w:endnote w:type="continuationSeparator" w:id="0">
    <w:p w:rsidR="00E06618" w:rsidRDefault="004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BFE" w:rsidRDefault="004017AE">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51BFE" w:rsidRDefault="00D55B36">
    <w:pPr>
      <w:pStyle w:val="Rodap"/>
      <w:ind w:left="-567"/>
      <w:rPr>
        <w:rFonts w:ascii="DaxCondensed" w:hAnsi="DaxCondensed" w:cs="Arial"/>
        <w:color w:val="2C778C"/>
        <w:sz w:val="20"/>
        <w:szCs w:val="20"/>
      </w:rPr>
    </w:pPr>
  </w:p>
  <w:p w:rsidR="00551BFE" w:rsidRDefault="004017AE">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618" w:rsidRDefault="004017AE">
      <w:r>
        <w:rPr>
          <w:color w:val="000000"/>
        </w:rPr>
        <w:separator/>
      </w:r>
    </w:p>
  </w:footnote>
  <w:footnote w:type="continuationSeparator" w:id="0">
    <w:p w:rsidR="00E06618" w:rsidRDefault="00401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BFE" w:rsidRDefault="004017AE">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61312" behindDoc="1" locked="0" layoutInCell="1" allowOverlap="1">
          <wp:simplePos x="0" y="0"/>
          <wp:positionH relativeFrom="page">
            <wp:align>left</wp:align>
          </wp:positionH>
          <wp:positionV relativeFrom="paragraph">
            <wp:posOffset>-635636</wp:posOffset>
          </wp:positionV>
          <wp:extent cx="7572374" cy="971550"/>
          <wp:effectExtent l="0" t="0" r="0" b="0"/>
          <wp:wrapNone/>
          <wp:docPr id="2" name="Imagem 84"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31180"/>
    <w:multiLevelType w:val="multilevel"/>
    <w:tmpl w:val="3A52B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EB"/>
    <w:rsid w:val="00100E04"/>
    <w:rsid w:val="001A534C"/>
    <w:rsid w:val="001B60CB"/>
    <w:rsid w:val="001C6DEB"/>
    <w:rsid w:val="002D1A14"/>
    <w:rsid w:val="00391DD9"/>
    <w:rsid w:val="003B0195"/>
    <w:rsid w:val="004017AE"/>
    <w:rsid w:val="0043698A"/>
    <w:rsid w:val="0052057E"/>
    <w:rsid w:val="005655D7"/>
    <w:rsid w:val="007F42B3"/>
    <w:rsid w:val="00A16D96"/>
    <w:rsid w:val="00C36C7B"/>
    <w:rsid w:val="00D55B36"/>
    <w:rsid w:val="00E06618"/>
    <w:rsid w:val="00EE16AF"/>
    <w:rsid w:val="00F86755"/>
    <w:rsid w:val="00FF4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6AC76-E40C-4A29-9651-6CACA256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paragraph" w:customStyle="1" w:styleId="Standard">
    <w:name w:val="Standard"/>
    <w:pPr>
      <w:widowControl w:val="0"/>
      <w:suppressAutoHyphens/>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pPr>
      <w:spacing w:after="140" w:line="288" w:lineRule="auto"/>
    </w:pPr>
  </w:style>
  <w:style w:type="paragraph" w:customStyle="1" w:styleId="texto1">
    <w:name w:val="texto1"/>
    <w:basedOn w:val="Normal"/>
    <w:pPr>
      <w:spacing w:before="100" w:after="100"/>
    </w:pPr>
    <w:rPr>
      <w:rFonts w:ascii="Times New Roman" w:eastAsia="Times New Roman" w:hAnsi="Times New Roman"/>
      <w:lang w:eastAsia="pt-BR"/>
    </w:rPr>
  </w:style>
  <w:style w:type="character" w:styleId="Forte">
    <w:name w:val="Strong"/>
    <w:basedOn w:val="Fontepargpadro"/>
    <w:rPr>
      <w:b/>
      <w:bCs/>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customStyle="1" w:styleId="value">
    <w:name w:val="value"/>
    <w:basedOn w:val="Fontepargpadro"/>
  </w:style>
  <w:style w:type="character" w:styleId="Hyperlink">
    <w:name w:val="Hyperlink"/>
    <w:basedOn w:val="Fontepargpadro"/>
    <w:rPr>
      <w:color w:val="0000FF"/>
      <w:u w:val="single"/>
    </w:rPr>
  </w:style>
  <w:style w:type="paragraph" w:styleId="NormalWeb">
    <w:name w:val="Normal (Web)"/>
    <w:basedOn w:val="Normal"/>
    <w:pPr>
      <w:spacing w:before="100" w:after="100"/>
    </w:pPr>
    <w:rPr>
      <w:rFonts w:ascii="Times New Roman" w:eastAsia="Times New Roman" w:hAnsi="Times New Roman"/>
      <w:lang w:eastAsia="pt-BR"/>
    </w:r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Cambria" w:eastAsia="Cambria" w:hAnsi="Cambria" w:cs="Times New Roman"/>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mbria" w:eastAsia="Cambria" w:hAnsi="Cambria" w:cs="Times New Roman"/>
      <w:b/>
      <w:bCs/>
      <w:sz w:val="20"/>
      <w:szCs w:val="20"/>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TextosemFormatao">
    <w:name w:val="Plain Text"/>
    <w:basedOn w:val="Normal"/>
    <w:rPr>
      <w:rFonts w:ascii="Calibri" w:eastAsia="Calibri" w:hAnsi="Calibri" w:cs="Calibri"/>
      <w:sz w:val="22"/>
      <w:szCs w:val="22"/>
    </w:rPr>
  </w:style>
  <w:style w:type="character" w:customStyle="1" w:styleId="TextosemFormataoChar">
    <w:name w:val="Texto sem Formatação Char"/>
    <w:basedOn w:val="Fontepargpadro"/>
    <w:rPr>
      <w:rFonts w:ascii="Calibri" w:hAnsi="Calibri" w:cs="Calibri"/>
    </w:rPr>
  </w:style>
  <w:style w:type="character" w:styleId="TextodoEspaoReservado">
    <w:name w:val="Placeholder Text"/>
    <w:basedOn w:val="Fontepargpadro"/>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1207</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3</cp:revision>
  <cp:lastPrinted>2018-01-04T14:27:00Z</cp:lastPrinted>
  <dcterms:created xsi:type="dcterms:W3CDTF">2020-12-04T18:32:00Z</dcterms:created>
  <dcterms:modified xsi:type="dcterms:W3CDTF">2020-12-18T13:48:00Z</dcterms:modified>
</cp:coreProperties>
</file>