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727"/>
        <w:gridCol w:w="6629"/>
      </w:tblGrid>
      <w:tr w:rsidR="00F2267F" w:rsidRPr="00055D39" w:rsidTr="00055D39">
        <w:trPr>
          <w:trHeight w:val="339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55D39" w:rsidRDefault="00F2267F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>DENÚNCIA</w:t>
            </w:r>
            <w:r w:rsidR="0094187E" w:rsidRPr="00055D39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55D39" w:rsidRDefault="00601ADD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>15.</w:t>
            </w:r>
            <w:r w:rsidR="00775CE7" w:rsidRPr="00055D39">
              <w:rPr>
                <w:rFonts w:ascii="Times New Roman" w:hAnsi="Times New Roman"/>
                <w:sz w:val="22"/>
                <w:szCs w:val="22"/>
              </w:rPr>
              <w:t>215</w:t>
            </w:r>
          </w:p>
        </w:tc>
      </w:tr>
      <w:tr w:rsidR="0094187E" w:rsidRPr="00055D39" w:rsidTr="00055D39">
        <w:trPr>
          <w:trHeight w:val="339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055D39" w:rsidRDefault="0094187E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>PROTOCOLO SICCAU Nº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055D39" w:rsidRDefault="00601ADD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>599.040/2017</w:t>
            </w:r>
          </w:p>
        </w:tc>
      </w:tr>
      <w:tr w:rsidR="00F2267F" w:rsidRPr="00055D39" w:rsidTr="00055D39">
        <w:trPr>
          <w:trHeight w:val="339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55D39" w:rsidRDefault="00F2267F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55D39" w:rsidRDefault="00601ADD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>M. L. N.</w:t>
            </w:r>
          </w:p>
        </w:tc>
      </w:tr>
      <w:tr w:rsidR="00F2267F" w:rsidRPr="00055D39" w:rsidTr="00055D39">
        <w:trPr>
          <w:trHeight w:val="339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55D39" w:rsidRDefault="00601ADD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>DENUNCIADA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55D39" w:rsidRDefault="00601ADD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>A. P. D.</w:t>
            </w:r>
          </w:p>
        </w:tc>
      </w:tr>
      <w:tr w:rsidR="00F2267F" w:rsidRPr="00055D39" w:rsidTr="00055D39">
        <w:trPr>
          <w:trHeight w:val="339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55D39" w:rsidRDefault="00F2267F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55D39" w:rsidRDefault="00B94F97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</w:tbl>
    <w:p w:rsidR="00F2267F" w:rsidRPr="00055D39" w:rsidRDefault="00F2267F" w:rsidP="00055D39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055D39" w:rsidTr="00055D39">
        <w:trPr>
          <w:trHeight w:hRule="exact" w:val="331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055D39" w:rsidRDefault="00F2267F" w:rsidP="00055D39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b/>
                <w:sz w:val="22"/>
                <w:szCs w:val="22"/>
              </w:rPr>
              <w:t>DELIBERAÇÃO CED-</w:t>
            </w:r>
            <w:r w:rsidR="00D360E5" w:rsidRPr="00055D39">
              <w:rPr>
                <w:rFonts w:ascii="Times New Roman" w:hAnsi="Times New Roman"/>
                <w:b/>
                <w:sz w:val="22"/>
                <w:szCs w:val="22"/>
              </w:rPr>
              <w:t>CAU/RS Nº 09</w:t>
            </w:r>
            <w:r w:rsidR="00601ADD" w:rsidRPr="00055D3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D360E5" w:rsidRPr="00055D39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</w:p>
        </w:tc>
      </w:tr>
    </w:tbl>
    <w:p w:rsidR="00F2267F" w:rsidRPr="00055D39" w:rsidRDefault="00F2267F" w:rsidP="00055D39">
      <w:pPr>
        <w:spacing w:after="60"/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055D39" w:rsidRDefault="00F2267F" w:rsidP="00055D39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055D39">
        <w:rPr>
          <w:rFonts w:ascii="Times New Roman" w:hAnsi="Times New Roman"/>
          <w:sz w:val="22"/>
          <w:szCs w:val="22"/>
        </w:rPr>
        <w:t>A COMISSÃO DE ÉTICA E DISCIPLINA – CED-CAU/RS, reunida ordinariamente em Porto Alegr</w:t>
      </w:r>
      <w:r w:rsidR="004F3ED2" w:rsidRPr="00055D39">
        <w:rPr>
          <w:rFonts w:ascii="Times New Roman" w:hAnsi="Times New Roman"/>
          <w:sz w:val="22"/>
          <w:szCs w:val="22"/>
        </w:rPr>
        <w:t>e/RS, na sede do CAU/RS, no dia</w:t>
      </w:r>
      <w:r w:rsidR="00FB4985" w:rsidRPr="00055D39">
        <w:rPr>
          <w:rFonts w:ascii="Times New Roman" w:hAnsi="Times New Roman"/>
          <w:sz w:val="22"/>
          <w:szCs w:val="22"/>
        </w:rPr>
        <w:t xml:space="preserve"> </w:t>
      </w:r>
      <w:r w:rsidR="00B94F97" w:rsidRPr="00055D39">
        <w:rPr>
          <w:rFonts w:ascii="Times New Roman" w:hAnsi="Times New Roman"/>
          <w:sz w:val="22"/>
          <w:szCs w:val="22"/>
        </w:rPr>
        <w:t>13</w:t>
      </w:r>
      <w:r w:rsidR="00FB4985" w:rsidRPr="00055D39">
        <w:rPr>
          <w:rFonts w:ascii="Times New Roman" w:hAnsi="Times New Roman"/>
          <w:sz w:val="22"/>
          <w:szCs w:val="22"/>
        </w:rPr>
        <w:t xml:space="preserve"> de </w:t>
      </w:r>
      <w:r w:rsidR="00B94F97" w:rsidRPr="00055D39">
        <w:rPr>
          <w:rFonts w:ascii="Times New Roman" w:hAnsi="Times New Roman"/>
          <w:sz w:val="22"/>
          <w:szCs w:val="22"/>
        </w:rPr>
        <w:t>agosto</w:t>
      </w:r>
      <w:r w:rsidR="00FB4985" w:rsidRPr="00055D39">
        <w:rPr>
          <w:rFonts w:ascii="Times New Roman" w:hAnsi="Times New Roman"/>
          <w:sz w:val="22"/>
          <w:szCs w:val="22"/>
        </w:rPr>
        <w:t xml:space="preserve"> de 2019</w:t>
      </w:r>
      <w:r w:rsidRPr="00055D39">
        <w:rPr>
          <w:rFonts w:ascii="Times New Roman" w:hAnsi="Times New Roman"/>
          <w:sz w:val="22"/>
          <w:szCs w:val="22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055D39" w:rsidRDefault="00F2267F" w:rsidP="00055D39">
      <w:pPr>
        <w:autoSpaceDE w:val="0"/>
        <w:autoSpaceDN w:val="0"/>
        <w:spacing w:after="60"/>
        <w:jc w:val="both"/>
        <w:rPr>
          <w:rFonts w:ascii="Times New Roman" w:hAnsi="Times New Roman"/>
          <w:sz w:val="22"/>
          <w:szCs w:val="22"/>
          <w:lang w:eastAsia="pt-BR"/>
        </w:rPr>
      </w:pPr>
      <w:r w:rsidRPr="00055D39">
        <w:rPr>
          <w:rFonts w:ascii="Times New Roman" w:hAnsi="Times New Roman"/>
          <w:sz w:val="22"/>
          <w:szCs w:val="22"/>
          <w:lang w:eastAsia="pt-BR"/>
        </w:rPr>
        <w:t>Con</w:t>
      </w:r>
      <w:r w:rsidR="00FB4985" w:rsidRPr="00055D39">
        <w:rPr>
          <w:rFonts w:ascii="Times New Roman" w:hAnsi="Times New Roman"/>
          <w:sz w:val="22"/>
          <w:szCs w:val="22"/>
          <w:lang w:eastAsia="pt-BR"/>
        </w:rPr>
        <w:t>siderando os fatos expostos pel</w:t>
      </w:r>
      <w:r w:rsidR="008F0DCB" w:rsidRPr="00055D39">
        <w:rPr>
          <w:rFonts w:ascii="Times New Roman" w:hAnsi="Times New Roman"/>
          <w:sz w:val="22"/>
          <w:szCs w:val="22"/>
          <w:lang w:eastAsia="pt-BR"/>
        </w:rPr>
        <w:t>o</w:t>
      </w:r>
      <w:r w:rsidRPr="00055D39">
        <w:rPr>
          <w:rFonts w:ascii="Times New Roman" w:hAnsi="Times New Roman"/>
          <w:sz w:val="22"/>
          <w:szCs w:val="22"/>
          <w:lang w:eastAsia="pt-BR"/>
        </w:rPr>
        <w:t xml:space="preserve"> relator, Conselheir</w:t>
      </w:r>
      <w:r w:rsidR="008F0DCB" w:rsidRPr="00055D39">
        <w:rPr>
          <w:rFonts w:ascii="Times New Roman" w:hAnsi="Times New Roman"/>
          <w:sz w:val="22"/>
          <w:szCs w:val="22"/>
          <w:lang w:eastAsia="pt-BR"/>
        </w:rPr>
        <w:t>o</w:t>
      </w:r>
      <w:r w:rsidRPr="00055D3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94F97" w:rsidRPr="00055D39">
        <w:rPr>
          <w:rFonts w:ascii="Times New Roman" w:hAnsi="Times New Roman"/>
          <w:sz w:val="22"/>
          <w:szCs w:val="22"/>
        </w:rPr>
        <w:t>NOÉ VEGA COTTA DE MELLO</w:t>
      </w:r>
      <w:r w:rsidR="009F1745" w:rsidRPr="00055D39">
        <w:rPr>
          <w:rFonts w:ascii="Times New Roman" w:hAnsi="Times New Roman"/>
          <w:sz w:val="22"/>
          <w:szCs w:val="22"/>
          <w:lang w:eastAsia="pt-BR"/>
        </w:rPr>
        <w:t>, no</w:t>
      </w:r>
      <w:r w:rsidR="008F0DCB" w:rsidRPr="00055D3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F1745" w:rsidRPr="00055D39">
        <w:rPr>
          <w:rFonts w:ascii="Times New Roman" w:hAnsi="Times New Roman"/>
          <w:sz w:val="22"/>
          <w:szCs w:val="22"/>
          <w:lang w:eastAsia="pt-BR"/>
        </w:rPr>
        <w:t>parecer de admissibilidade;</w:t>
      </w:r>
    </w:p>
    <w:p w:rsidR="00B94F97" w:rsidRPr="00055D39" w:rsidRDefault="00AA584C" w:rsidP="00055D39">
      <w:pPr>
        <w:autoSpaceDE w:val="0"/>
        <w:autoSpaceDN w:val="0"/>
        <w:spacing w:after="60"/>
        <w:jc w:val="both"/>
        <w:rPr>
          <w:rFonts w:ascii="Times New Roman" w:hAnsi="Times New Roman"/>
          <w:sz w:val="22"/>
          <w:szCs w:val="22"/>
        </w:rPr>
      </w:pPr>
      <w:r w:rsidRPr="00055D39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601ADD" w:rsidRPr="00055D39">
        <w:rPr>
          <w:rFonts w:ascii="Times New Roman" w:hAnsi="Times New Roman"/>
          <w:sz w:val="22"/>
          <w:szCs w:val="22"/>
          <w:lang w:eastAsia="pt-BR"/>
        </w:rPr>
        <w:t>não restaram preenchidos os requisitos da denúncia, previstos no art.11, da Resolução CAU/B</w:t>
      </w:r>
      <w:r w:rsidR="003A38FC" w:rsidRPr="00055D39">
        <w:rPr>
          <w:rFonts w:ascii="Times New Roman" w:hAnsi="Times New Roman"/>
          <w:sz w:val="22"/>
          <w:szCs w:val="22"/>
          <w:lang w:eastAsia="pt-BR"/>
        </w:rPr>
        <w:t>R nº 143/2017 e que</w:t>
      </w:r>
      <w:r w:rsidR="00601ADD" w:rsidRPr="00055D39">
        <w:rPr>
          <w:rFonts w:ascii="Times New Roman" w:hAnsi="Times New Roman"/>
          <w:sz w:val="22"/>
          <w:szCs w:val="22"/>
          <w:lang w:eastAsia="pt-BR"/>
        </w:rPr>
        <w:t>, intimada, a parte denunciante não cumpriu às diligências solicitadas pelo Conselheiro Relator;</w:t>
      </w:r>
    </w:p>
    <w:p w:rsidR="00AA584C" w:rsidRPr="00055D39" w:rsidRDefault="00AA584C" w:rsidP="00055D39">
      <w:pPr>
        <w:autoSpaceDE w:val="0"/>
        <w:autoSpaceDN w:val="0"/>
        <w:spacing w:after="60"/>
        <w:jc w:val="both"/>
        <w:rPr>
          <w:rFonts w:ascii="Times New Roman" w:hAnsi="Times New Roman"/>
          <w:sz w:val="22"/>
          <w:szCs w:val="22"/>
          <w:lang w:eastAsia="pt-BR"/>
        </w:rPr>
      </w:pPr>
      <w:r w:rsidRPr="00055D39">
        <w:rPr>
          <w:rFonts w:ascii="Times New Roman" w:hAnsi="Times New Roman"/>
          <w:sz w:val="22"/>
          <w:szCs w:val="22"/>
        </w:rPr>
        <w:t xml:space="preserve">Considerando que compete à CED-CAU/RS realizar o juízo de admissibilidade, imediatamente após a leitura do parecer de admissibilidade emitido pelo relator, nos termos do </w:t>
      </w:r>
      <w:r w:rsidR="00650344" w:rsidRPr="00055D39">
        <w:rPr>
          <w:rFonts w:ascii="Times New Roman" w:hAnsi="Times New Roman"/>
          <w:sz w:val="22"/>
          <w:szCs w:val="22"/>
        </w:rPr>
        <w:t>art. 21</w:t>
      </w:r>
      <w:r w:rsidR="00593100" w:rsidRPr="00055D39">
        <w:rPr>
          <w:rFonts w:ascii="Times New Roman" w:hAnsi="Times New Roman"/>
          <w:sz w:val="22"/>
          <w:szCs w:val="22"/>
        </w:rPr>
        <w:t xml:space="preserve"> da Resolução CAU/BR nº 143/2017</w:t>
      </w:r>
      <w:r w:rsidR="009F1745" w:rsidRPr="00055D39">
        <w:rPr>
          <w:rFonts w:ascii="Times New Roman" w:hAnsi="Times New Roman"/>
          <w:sz w:val="22"/>
          <w:szCs w:val="22"/>
        </w:rPr>
        <w:t>;</w:t>
      </w:r>
    </w:p>
    <w:p w:rsidR="00F2267F" w:rsidRPr="00055D39" w:rsidRDefault="00F2267F" w:rsidP="00055D39">
      <w:pPr>
        <w:autoSpaceDE w:val="0"/>
        <w:autoSpaceDN w:val="0"/>
        <w:spacing w:after="60"/>
        <w:jc w:val="both"/>
        <w:rPr>
          <w:rFonts w:ascii="Times New Roman" w:hAnsi="Times New Roman"/>
          <w:sz w:val="22"/>
          <w:szCs w:val="22"/>
        </w:rPr>
      </w:pPr>
    </w:p>
    <w:p w:rsidR="00F2267F" w:rsidRPr="00055D39" w:rsidRDefault="00F2267F" w:rsidP="00055D39">
      <w:pPr>
        <w:tabs>
          <w:tab w:val="left" w:pos="1418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055D39">
        <w:rPr>
          <w:rFonts w:ascii="Times New Roman" w:hAnsi="Times New Roman"/>
          <w:b/>
          <w:sz w:val="22"/>
          <w:szCs w:val="22"/>
        </w:rPr>
        <w:t>DELIBEROU</w:t>
      </w:r>
      <w:r w:rsidR="00090F47" w:rsidRPr="00055D39">
        <w:rPr>
          <w:rFonts w:ascii="Times New Roman" w:hAnsi="Times New Roman"/>
          <w:b/>
          <w:sz w:val="22"/>
          <w:szCs w:val="22"/>
        </w:rPr>
        <w:t xml:space="preserve"> por</w:t>
      </w:r>
      <w:r w:rsidRPr="00055D39">
        <w:rPr>
          <w:rFonts w:ascii="Times New Roman" w:hAnsi="Times New Roman"/>
          <w:b/>
          <w:sz w:val="22"/>
          <w:szCs w:val="22"/>
        </w:rPr>
        <w:t>:</w:t>
      </w:r>
    </w:p>
    <w:p w:rsidR="00055D39" w:rsidRDefault="00055D39" w:rsidP="00055D39">
      <w:pPr>
        <w:pStyle w:val="PargrafodaLista"/>
        <w:spacing w:after="60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601ADD" w:rsidRPr="00055D39" w:rsidRDefault="00601ADD" w:rsidP="00055D39">
      <w:pPr>
        <w:pStyle w:val="PargrafodaLista"/>
        <w:numPr>
          <w:ilvl w:val="0"/>
          <w:numId w:val="15"/>
        </w:numPr>
        <w:spacing w:after="60"/>
        <w:ind w:left="709" w:hanging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55D39">
        <w:rPr>
          <w:rFonts w:ascii="Times New Roman" w:hAnsi="Times New Roman"/>
          <w:sz w:val="22"/>
          <w:szCs w:val="22"/>
        </w:rPr>
        <w:t xml:space="preserve">Aprovar o parecer de admissibilidade do Conselheiro Relator, que opinou </w:t>
      </w:r>
      <w:r w:rsidR="00055D39" w:rsidRPr="00055D39">
        <w:rPr>
          <w:rFonts w:ascii="Times New Roman" w:hAnsi="Times New Roman"/>
          <w:sz w:val="22"/>
          <w:szCs w:val="22"/>
        </w:rPr>
        <w:t xml:space="preserve">pelo arquivamento liminar, em razão do não acatamento da denúncia, com a consequente </w:t>
      </w:r>
      <w:r w:rsidRPr="00055D39">
        <w:rPr>
          <w:rFonts w:ascii="Times New Roman" w:hAnsi="Times New Roman"/>
          <w:sz w:val="22"/>
          <w:szCs w:val="22"/>
        </w:rPr>
        <w:t xml:space="preserve">extinção do feito, </w:t>
      </w:r>
      <w:r w:rsidR="00055D39" w:rsidRPr="00055D39">
        <w:rPr>
          <w:rFonts w:ascii="Times New Roman" w:hAnsi="Times New Roman"/>
          <w:sz w:val="22"/>
          <w:szCs w:val="22"/>
        </w:rPr>
        <w:t>nos termos do art. 21, c/c art. 113, inciso II</w:t>
      </w:r>
      <w:r w:rsidRPr="00055D39">
        <w:rPr>
          <w:rFonts w:ascii="Times New Roman" w:hAnsi="Times New Roman"/>
          <w:sz w:val="22"/>
          <w:szCs w:val="22"/>
        </w:rPr>
        <w:t>, da resolução supracitada, uma vez que não foram preenchidos os requisitos da denúncia, previstos no art. 11, da Resolução CAU/BR nº 143/2017;</w:t>
      </w:r>
    </w:p>
    <w:p w:rsidR="00055D39" w:rsidRPr="00055D39" w:rsidRDefault="00055D39" w:rsidP="00055D39">
      <w:pPr>
        <w:pStyle w:val="PargrafodaLista"/>
        <w:numPr>
          <w:ilvl w:val="0"/>
          <w:numId w:val="15"/>
        </w:numPr>
        <w:spacing w:after="60"/>
        <w:ind w:left="709" w:hanging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55D39">
        <w:rPr>
          <w:rFonts w:ascii="Times New Roman" w:hAnsi="Times New Roman"/>
          <w:sz w:val="22"/>
          <w:szCs w:val="22"/>
        </w:rPr>
        <w:t>Intimar o denunciante desta decisão, cabendo interposição de recurso ao Plenário do CAU/RS no prazo de 10 (dez) dias, nos termos do art. 22</w:t>
      </w:r>
      <w:r w:rsidRPr="00055D39">
        <w:rPr>
          <w:rFonts w:ascii="Times New Roman" w:hAnsi="Times New Roman"/>
          <w:sz w:val="22"/>
          <w:szCs w:val="22"/>
        </w:rPr>
        <w:t>,</w:t>
      </w:r>
      <w:r w:rsidRPr="00055D39">
        <w:rPr>
          <w:rFonts w:ascii="Times New Roman" w:hAnsi="Times New Roman"/>
          <w:sz w:val="22"/>
          <w:szCs w:val="22"/>
        </w:rPr>
        <w:t xml:space="preserve"> da Resolução</w:t>
      </w:r>
      <w:r w:rsidRPr="00055D39">
        <w:rPr>
          <w:rFonts w:ascii="Times New Roman" w:hAnsi="Times New Roman"/>
          <w:sz w:val="22"/>
          <w:szCs w:val="22"/>
        </w:rPr>
        <w:t xml:space="preserve"> CAU/BR</w:t>
      </w:r>
      <w:r w:rsidRPr="00055D39">
        <w:rPr>
          <w:rFonts w:ascii="Times New Roman" w:hAnsi="Times New Roman"/>
          <w:sz w:val="22"/>
          <w:szCs w:val="22"/>
        </w:rPr>
        <w:t xml:space="preserve"> n° 143</w:t>
      </w:r>
      <w:r w:rsidRPr="00055D39">
        <w:rPr>
          <w:rFonts w:ascii="Times New Roman" w:hAnsi="Times New Roman"/>
          <w:sz w:val="22"/>
          <w:szCs w:val="22"/>
        </w:rPr>
        <w:t>/2017;</w:t>
      </w:r>
    </w:p>
    <w:p w:rsidR="00055D39" w:rsidRPr="00055D39" w:rsidRDefault="00055D39" w:rsidP="00055D39">
      <w:pPr>
        <w:pStyle w:val="PargrafodaLista"/>
        <w:numPr>
          <w:ilvl w:val="0"/>
          <w:numId w:val="15"/>
        </w:numPr>
        <w:spacing w:after="60"/>
        <w:ind w:left="709" w:hanging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55D39">
        <w:rPr>
          <w:rFonts w:ascii="Times New Roman" w:hAnsi="Times New Roman"/>
          <w:sz w:val="22"/>
          <w:szCs w:val="22"/>
        </w:rPr>
        <w:t>Intimar a parte denunciada da decisão, informando que cabe recurso.</w:t>
      </w:r>
    </w:p>
    <w:p w:rsidR="00055D39" w:rsidRPr="00055D39" w:rsidRDefault="00055D39" w:rsidP="00055D39">
      <w:pPr>
        <w:pStyle w:val="PargrafodaLista"/>
        <w:numPr>
          <w:ilvl w:val="0"/>
          <w:numId w:val="15"/>
        </w:numPr>
        <w:spacing w:after="60"/>
        <w:ind w:left="709" w:hanging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055D39">
        <w:rPr>
          <w:rFonts w:ascii="Times New Roman" w:hAnsi="Times New Roman"/>
          <w:sz w:val="22"/>
          <w:szCs w:val="22"/>
        </w:rPr>
        <w:t>Caso haja interposição de recurso, oficiar a parte denunciada para que, querendo, apresente contrarrazões no prazo de 10 (dez) dias.</w:t>
      </w:r>
    </w:p>
    <w:p w:rsidR="000D0613" w:rsidRPr="00055D39" w:rsidRDefault="000D0613" w:rsidP="00055D39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055D39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055D39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055D39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5D39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055D39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5D39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055D39">
        <w:rPr>
          <w:rFonts w:ascii="Times New Roman" w:hAnsi="Times New Roman"/>
          <w:sz w:val="22"/>
          <w:szCs w:val="22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5D39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055D39">
        <w:rPr>
          <w:rFonts w:ascii="Times New Roman" w:hAnsi="Times New Roman"/>
          <w:sz w:val="22"/>
          <w:szCs w:val="22"/>
        </w:rPr>
        <w:t>.</w:t>
      </w:r>
    </w:p>
    <w:p w:rsidR="00F2267F" w:rsidRPr="00055D39" w:rsidRDefault="00F2267F" w:rsidP="00055D39">
      <w:pPr>
        <w:spacing w:after="60"/>
        <w:jc w:val="right"/>
        <w:rPr>
          <w:rFonts w:ascii="Times New Roman" w:hAnsi="Times New Roman"/>
          <w:sz w:val="22"/>
          <w:szCs w:val="22"/>
        </w:rPr>
      </w:pPr>
      <w:r w:rsidRPr="00055D39">
        <w:rPr>
          <w:rFonts w:ascii="Times New Roman" w:hAnsi="Times New Roman"/>
          <w:sz w:val="22"/>
          <w:szCs w:val="22"/>
        </w:rPr>
        <w:t>Porto Alegre,</w:t>
      </w:r>
      <w:r w:rsidR="00FB4985" w:rsidRPr="00055D39">
        <w:rPr>
          <w:rFonts w:ascii="Times New Roman" w:hAnsi="Times New Roman"/>
          <w:sz w:val="22"/>
          <w:szCs w:val="22"/>
        </w:rPr>
        <w:t xml:space="preserve"> </w:t>
      </w:r>
      <w:r w:rsidR="00B94F97" w:rsidRPr="00055D39">
        <w:rPr>
          <w:rFonts w:ascii="Times New Roman" w:hAnsi="Times New Roman"/>
          <w:sz w:val="22"/>
          <w:szCs w:val="22"/>
        </w:rPr>
        <w:t>13</w:t>
      </w:r>
      <w:r w:rsidR="00FB4985" w:rsidRPr="00055D39">
        <w:rPr>
          <w:rFonts w:ascii="Times New Roman" w:hAnsi="Times New Roman"/>
          <w:sz w:val="22"/>
          <w:szCs w:val="22"/>
        </w:rPr>
        <w:t xml:space="preserve"> de </w:t>
      </w:r>
      <w:r w:rsidR="00B94F97" w:rsidRPr="00055D39">
        <w:rPr>
          <w:rFonts w:ascii="Times New Roman" w:hAnsi="Times New Roman"/>
          <w:sz w:val="22"/>
          <w:szCs w:val="22"/>
        </w:rPr>
        <w:t xml:space="preserve">agosto </w:t>
      </w:r>
      <w:r w:rsidR="00FB4985" w:rsidRPr="00055D39">
        <w:rPr>
          <w:rFonts w:ascii="Times New Roman" w:hAnsi="Times New Roman"/>
          <w:sz w:val="22"/>
          <w:szCs w:val="22"/>
        </w:rPr>
        <w:t>de 2019</w:t>
      </w:r>
      <w:r w:rsidRPr="00055D39">
        <w:rPr>
          <w:rFonts w:ascii="Times New Roman" w:hAnsi="Times New Roman"/>
          <w:sz w:val="22"/>
          <w:szCs w:val="22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055D39" w:rsidTr="00C912D9">
        <w:tc>
          <w:tcPr>
            <w:tcW w:w="4897" w:type="dxa"/>
            <w:shd w:val="clear" w:color="auto" w:fill="auto"/>
          </w:tcPr>
          <w:p w:rsidR="00F2267F" w:rsidRPr="00055D39" w:rsidRDefault="00F2267F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055D39" w:rsidRDefault="00F2267F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055D39" w:rsidRDefault="00F2267F" w:rsidP="00055D39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5D3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055D39" w:rsidRDefault="00F2267F" w:rsidP="00055D39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055D39" w:rsidTr="00C912D9">
        <w:tc>
          <w:tcPr>
            <w:tcW w:w="4897" w:type="dxa"/>
            <w:shd w:val="clear" w:color="auto" w:fill="auto"/>
          </w:tcPr>
          <w:p w:rsidR="00F2267F" w:rsidRPr="00055D39" w:rsidRDefault="00F2267F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 w:rsidRPr="00055D39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Pr="00055D39"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055D39" w:rsidRDefault="00F2267F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055D39" w:rsidRDefault="00F2267F" w:rsidP="00055D39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5D3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055D39" w:rsidRDefault="00F2267F" w:rsidP="00055D39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055D39" w:rsidTr="00C912D9">
        <w:tc>
          <w:tcPr>
            <w:tcW w:w="4897" w:type="dxa"/>
            <w:shd w:val="clear" w:color="auto" w:fill="auto"/>
          </w:tcPr>
          <w:p w:rsidR="00F2267F" w:rsidRPr="00055D39" w:rsidRDefault="00AF4E6E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b/>
                <w:sz w:val="22"/>
                <w:szCs w:val="22"/>
              </w:rPr>
              <w:t>MÁRCIA ELIZABETH MARTINS</w:t>
            </w:r>
          </w:p>
          <w:p w:rsidR="00F2267F" w:rsidRPr="00055D39" w:rsidRDefault="00F2267F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055D39" w:rsidRDefault="00F2267F" w:rsidP="00055D39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5D3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055D39" w:rsidRDefault="00F2267F" w:rsidP="00055D39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055D39" w:rsidTr="00C912D9">
        <w:tc>
          <w:tcPr>
            <w:tcW w:w="4897" w:type="dxa"/>
            <w:shd w:val="clear" w:color="auto" w:fill="auto"/>
          </w:tcPr>
          <w:p w:rsidR="00F2267F" w:rsidRPr="00055D39" w:rsidRDefault="00F2267F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055D39" w:rsidRDefault="00AF4E6E" w:rsidP="00055D39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055D3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055D39" w:rsidRDefault="00F2267F" w:rsidP="00055D39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5D3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055D39" w:rsidRDefault="00F2267F" w:rsidP="00055D39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Pr="00055D39" w:rsidRDefault="00B546CA" w:rsidP="00055D39">
      <w:pPr>
        <w:spacing w:after="60"/>
        <w:rPr>
          <w:rFonts w:ascii="Times New Roman" w:hAnsi="Times New Roman"/>
          <w:sz w:val="22"/>
          <w:szCs w:val="22"/>
        </w:rPr>
      </w:pPr>
    </w:p>
    <w:sectPr w:rsidR="00B546CA" w:rsidRPr="00055D39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055D39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EA"/>
    <w:rsid w:val="0000691C"/>
    <w:rsid w:val="00007DA7"/>
    <w:rsid w:val="0001678C"/>
    <w:rsid w:val="00016C2D"/>
    <w:rsid w:val="00022B32"/>
    <w:rsid w:val="00024C77"/>
    <w:rsid w:val="00034C23"/>
    <w:rsid w:val="0004632E"/>
    <w:rsid w:val="00054A05"/>
    <w:rsid w:val="00055D39"/>
    <w:rsid w:val="00063F33"/>
    <w:rsid w:val="00066A4C"/>
    <w:rsid w:val="00072119"/>
    <w:rsid w:val="000761A0"/>
    <w:rsid w:val="0008265C"/>
    <w:rsid w:val="00082A61"/>
    <w:rsid w:val="00090F47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85F3C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929A7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38FC"/>
    <w:rsid w:val="003A71B0"/>
    <w:rsid w:val="003B6EDE"/>
    <w:rsid w:val="003B7502"/>
    <w:rsid w:val="003C1892"/>
    <w:rsid w:val="003D6D14"/>
    <w:rsid w:val="003D76C8"/>
    <w:rsid w:val="003F09EA"/>
    <w:rsid w:val="003F1F39"/>
    <w:rsid w:val="00400800"/>
    <w:rsid w:val="00403BB9"/>
    <w:rsid w:val="00406458"/>
    <w:rsid w:val="0040794C"/>
    <w:rsid w:val="004156EC"/>
    <w:rsid w:val="004367E3"/>
    <w:rsid w:val="00442663"/>
    <w:rsid w:val="00442A5C"/>
    <w:rsid w:val="00452997"/>
    <w:rsid w:val="00456B6D"/>
    <w:rsid w:val="004606F6"/>
    <w:rsid w:val="0046568C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035C"/>
    <w:rsid w:val="00592AAF"/>
    <w:rsid w:val="00593100"/>
    <w:rsid w:val="005974D6"/>
    <w:rsid w:val="005978D9"/>
    <w:rsid w:val="005C35A0"/>
    <w:rsid w:val="005C631A"/>
    <w:rsid w:val="005C6D3E"/>
    <w:rsid w:val="005D11E6"/>
    <w:rsid w:val="005D7640"/>
    <w:rsid w:val="005E0E1C"/>
    <w:rsid w:val="005E7C3B"/>
    <w:rsid w:val="005F2A2D"/>
    <w:rsid w:val="005F7E54"/>
    <w:rsid w:val="00601ADD"/>
    <w:rsid w:val="006221B5"/>
    <w:rsid w:val="006330FE"/>
    <w:rsid w:val="00640749"/>
    <w:rsid w:val="00647F06"/>
    <w:rsid w:val="00650344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75CE7"/>
    <w:rsid w:val="007868DA"/>
    <w:rsid w:val="007916D2"/>
    <w:rsid w:val="007A3466"/>
    <w:rsid w:val="007A40DA"/>
    <w:rsid w:val="007B23B2"/>
    <w:rsid w:val="007C1CF4"/>
    <w:rsid w:val="007C7053"/>
    <w:rsid w:val="007D40F2"/>
    <w:rsid w:val="007E22B7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10F0"/>
    <w:rsid w:val="00887FB0"/>
    <w:rsid w:val="008973EF"/>
    <w:rsid w:val="008B1C21"/>
    <w:rsid w:val="008D780B"/>
    <w:rsid w:val="008E33ED"/>
    <w:rsid w:val="008E4D34"/>
    <w:rsid w:val="008E584D"/>
    <w:rsid w:val="008E7413"/>
    <w:rsid w:val="008F0DCB"/>
    <w:rsid w:val="00903424"/>
    <w:rsid w:val="00923C24"/>
    <w:rsid w:val="00934ABD"/>
    <w:rsid w:val="00934BA9"/>
    <w:rsid w:val="00935C9B"/>
    <w:rsid w:val="0094144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1745"/>
    <w:rsid w:val="009F4253"/>
    <w:rsid w:val="009F7B2F"/>
    <w:rsid w:val="00A003CE"/>
    <w:rsid w:val="00A12EA0"/>
    <w:rsid w:val="00A22097"/>
    <w:rsid w:val="00A2768A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39A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AF4E6E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C9B"/>
    <w:rsid w:val="00B81D40"/>
    <w:rsid w:val="00B85BC8"/>
    <w:rsid w:val="00B860E6"/>
    <w:rsid w:val="00B872F4"/>
    <w:rsid w:val="00B94F97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27537"/>
    <w:rsid w:val="00D360E5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E5E35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44FF5"/>
    <w:rsid w:val="00F503D5"/>
    <w:rsid w:val="00F53D2A"/>
    <w:rsid w:val="00F66995"/>
    <w:rsid w:val="00F7065C"/>
    <w:rsid w:val="00F74527"/>
    <w:rsid w:val="00F77A55"/>
    <w:rsid w:val="00F8149A"/>
    <w:rsid w:val="00F8289D"/>
    <w:rsid w:val="00F86092"/>
    <w:rsid w:val="00FA143B"/>
    <w:rsid w:val="00FA6056"/>
    <w:rsid w:val="00FB3D22"/>
    <w:rsid w:val="00FB484D"/>
    <w:rsid w:val="00FB4985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B627E0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B627E0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B627E0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B627E0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B627E0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074B7-DC21-46FA-9CD1-13069FB4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Flávio Salamoni Barros Silva</cp:lastModifiedBy>
  <cp:revision>16</cp:revision>
  <cp:lastPrinted>2019-07-24T16:51:00Z</cp:lastPrinted>
  <dcterms:created xsi:type="dcterms:W3CDTF">2019-07-19T20:27:00Z</dcterms:created>
  <dcterms:modified xsi:type="dcterms:W3CDTF">2019-08-13T17:37:00Z</dcterms:modified>
</cp:coreProperties>
</file>