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094F67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412822/2016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094F67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M. dos A.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094F67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F. B.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094F67" w:rsidP="002E7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094F6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</w:t>
            </w:r>
            <w:r w:rsidR="00094F67">
              <w:rPr>
                <w:rFonts w:ascii="Times New Roman" w:hAnsi="Times New Roman"/>
                <w:b/>
              </w:rPr>
              <w:t>80</w:t>
            </w:r>
            <w:r w:rsidR="001D4F8B" w:rsidRPr="00D47AB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Pr="00D47AB6">
        <w:rPr>
          <w:rFonts w:ascii="Times New Roman" w:hAnsi="Times New Roman"/>
        </w:rPr>
        <w:t xml:space="preserve">;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1D4F8B" w:rsidRPr="00D47AB6">
        <w:rPr>
          <w:rFonts w:ascii="Times New Roman" w:hAnsi="Times New Roman"/>
        </w:rPr>
        <w:t xml:space="preserve"> (</w:t>
      </w:r>
      <w:r w:rsidR="00094F67">
        <w:rPr>
          <w:rFonts w:ascii="Times New Roman" w:hAnsi="Times New Roman"/>
        </w:rPr>
        <w:t>258/260</w:t>
      </w:r>
      <w:r w:rsidR="001D4F8B" w:rsidRPr="00D47AB6">
        <w:rPr>
          <w:rFonts w:ascii="Times New Roman" w:hAnsi="Times New Roman"/>
        </w:rPr>
        <w:t>)</w:t>
      </w:r>
      <w:r w:rsidRPr="00D47AB6">
        <w:rPr>
          <w:rFonts w:ascii="Times New Roman" w:hAnsi="Times New Roman"/>
        </w:rPr>
        <w:t>;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7E591A" w:rsidRPr="006E644D" w:rsidRDefault="006636F4" w:rsidP="00094F67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Aprovar, por unanimidade, o voto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Relator, nos seguintes termos</w:t>
      </w:r>
      <w:r w:rsidR="00324AFC" w:rsidRPr="007E591A">
        <w:rPr>
          <w:rFonts w:ascii="Times New Roman" w:hAnsi="Times New Roman"/>
        </w:rPr>
        <w:t xml:space="preserve">: em </w:t>
      </w:r>
      <w:r w:rsidR="00AB09D7" w:rsidRPr="007E591A">
        <w:rPr>
          <w:rFonts w:ascii="Times New Roman" w:hAnsi="Times New Roman"/>
        </w:rPr>
        <w:t xml:space="preserve">suma, </w:t>
      </w:r>
      <w:r w:rsidR="00094F67" w:rsidRPr="00A02190">
        <w:rPr>
          <w:rFonts w:ascii="Times New Roman" w:hAnsi="Times New Roman"/>
        </w:rPr>
        <w:t xml:space="preserve">analisado o conjunto probatório presente nos autos do processo ético-disciplinar SICCAU nº 412.822/2016, julgo procedente a denúncia e voto pela aplicação da sanção de </w:t>
      </w:r>
      <w:r w:rsidR="00094F67" w:rsidRPr="00094F67">
        <w:rPr>
          <w:rFonts w:ascii="Times New Roman" w:hAnsi="Times New Roman"/>
        </w:rPr>
        <w:t>ADVERTÊNCIA PÚBLICA</w:t>
      </w:r>
      <w:r w:rsidR="00094F67" w:rsidRPr="00A02190">
        <w:rPr>
          <w:rFonts w:ascii="Times New Roman" w:hAnsi="Times New Roman"/>
        </w:rPr>
        <w:t>, por infração ao art. 18, inciso IX, da Lei nº 12.378/2010, agravada pela circunstância prevista no art. 72, inciso I, da Resolução CAU/BR nº 143/2017, uma vez que</w:t>
      </w:r>
      <w:r w:rsidR="00094F67">
        <w:rPr>
          <w:rFonts w:ascii="Times New Roman" w:hAnsi="Times New Roman"/>
        </w:rPr>
        <w:t xml:space="preserve"> o profissional foi impudente ao </w:t>
      </w:r>
      <w:r w:rsidR="00094F67" w:rsidRPr="00A02190">
        <w:rPr>
          <w:rFonts w:ascii="Times New Roman" w:hAnsi="Times New Roman"/>
        </w:rPr>
        <w:t>não observar às normas legais e técnicas pertinentes a profissão de arquitetura e urbanismo</w:t>
      </w:r>
      <w:r w:rsidR="00094F67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</w:t>
      </w:r>
      <w:bookmarkStart w:id="0" w:name="_GoBack"/>
      <w:bookmarkEnd w:id="0"/>
      <w:r w:rsidRPr="007E591A">
        <w:rPr>
          <w:rFonts w:ascii="Times New Roman" w:hAnsi="Times New Roman"/>
        </w:rPr>
        <w:t>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094F67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7F4E-2225-4A42-8AC8-84B8410A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2018-11-27T12:19:00Z</dcterms:created>
  <dcterms:modified xsi:type="dcterms:W3CDTF">2018-11-27T12:22:00Z</dcterms:modified>
</cp:coreProperties>
</file>