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853CA3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853CA3" w:rsidRPr="00D47AB6" w:rsidRDefault="00853CA3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53CA3" w:rsidRPr="00D47AB6" w:rsidRDefault="007E591A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E591A">
              <w:rPr>
                <w:rFonts w:ascii="Times New Roman" w:hAnsi="Times New Roman"/>
              </w:rPr>
              <w:t>275632/2015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7E591A" w:rsidP="007353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M. A.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DENUNCIADO</w:t>
            </w:r>
            <w:r w:rsidR="007E591A">
              <w:rPr>
                <w:rFonts w:ascii="Times New Roman" w:hAnsi="Times New Roman"/>
              </w:rPr>
              <w:t>S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7E591A" w:rsidP="007E59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876D5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.</w:t>
            </w:r>
            <w:r w:rsidRPr="00B876D5"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</w:rPr>
              <w:t>.</w:t>
            </w:r>
            <w:r w:rsidRPr="00B876D5">
              <w:rPr>
                <w:rFonts w:ascii="Times New Roman" w:hAnsi="Times New Roman"/>
              </w:rPr>
              <w:t xml:space="preserve"> e A</w:t>
            </w:r>
            <w:r>
              <w:rPr>
                <w:rFonts w:ascii="Times New Roman" w:hAnsi="Times New Roman"/>
              </w:rPr>
              <w:t>.</w:t>
            </w:r>
            <w:r w:rsidRPr="00B876D5"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/>
              </w:rPr>
              <w:t>.</w:t>
            </w:r>
            <w:r w:rsidRPr="00B876D5">
              <w:rPr>
                <w:rFonts w:ascii="Times New Roman" w:hAnsi="Times New Roman"/>
              </w:rPr>
              <w:t xml:space="preserve"> D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  <w:r w:rsidR="007E591A">
              <w:rPr>
                <w:rFonts w:ascii="Times New Roman" w:hAnsi="Times New Roman"/>
              </w:rPr>
              <w:t>A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7E591A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E644D">
              <w:rPr>
                <w:rFonts w:ascii="Times New Roman" w:hAnsi="Times New Roman"/>
              </w:rPr>
              <w:t>Roberta Krahe Edelweiss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7E591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1D4F8B" w:rsidRPr="00D47AB6">
              <w:rPr>
                <w:rFonts w:ascii="Times New Roman" w:hAnsi="Times New Roman"/>
                <w:b/>
              </w:rPr>
              <w:t>07</w:t>
            </w:r>
            <w:r w:rsidR="007E591A">
              <w:rPr>
                <w:rFonts w:ascii="Times New Roman" w:hAnsi="Times New Roman"/>
                <w:b/>
              </w:rPr>
              <w:t>7</w:t>
            </w:r>
            <w:r w:rsidR="001D4F8B" w:rsidRPr="00D47AB6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 xml:space="preserve">27 de novembro </w:t>
      </w:r>
      <w:r w:rsidR="0004714C" w:rsidRPr="00D47AB6">
        <w:rPr>
          <w:rFonts w:ascii="Times New Roman" w:hAnsi="Times New Roman"/>
        </w:rPr>
        <w:t>de 2018</w:t>
      </w:r>
      <w:r w:rsidRPr="00D47AB6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D47AB6">
        <w:rPr>
          <w:rFonts w:ascii="Times New Roman" w:hAnsi="Times New Roman"/>
        </w:rPr>
        <w:t>21, § 1º, da Lei nº 12.378/2010</w:t>
      </w:r>
      <w:r w:rsidRPr="00D47AB6">
        <w:rPr>
          <w:rFonts w:ascii="Times New Roman" w:hAnsi="Times New Roman"/>
        </w:rPr>
        <w:t xml:space="preserve">;  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7E591A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 Conselheir</w:t>
      </w:r>
      <w:r w:rsidR="007E591A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 Relator</w:t>
      </w:r>
      <w:r w:rsidR="007E591A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7E591A">
            <w:rPr>
              <w:rFonts w:ascii="Times New Roman" w:hAnsi="Times New Roman"/>
              <w:lang w:eastAsia="pt-BR"/>
            </w:rPr>
            <w:t>Roberta Krahe Edelweiss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1D4F8B" w:rsidRPr="00D47AB6">
        <w:rPr>
          <w:rFonts w:ascii="Times New Roman" w:hAnsi="Times New Roman"/>
        </w:rPr>
        <w:t xml:space="preserve"> (</w:t>
      </w:r>
      <w:r w:rsidR="007E591A">
        <w:rPr>
          <w:rFonts w:ascii="Times New Roman" w:hAnsi="Times New Roman"/>
        </w:rPr>
        <w:t>282/284</w:t>
      </w:r>
      <w:r w:rsidR="001D4F8B" w:rsidRPr="00D47AB6">
        <w:rPr>
          <w:rFonts w:ascii="Times New Roman" w:hAnsi="Times New Roman"/>
        </w:rPr>
        <w:t>)</w:t>
      </w:r>
      <w:r w:rsidRPr="00D47AB6">
        <w:rPr>
          <w:rFonts w:ascii="Times New Roman" w:hAnsi="Times New Roman"/>
        </w:rPr>
        <w:t>;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7E591A" w:rsidRPr="006E644D" w:rsidRDefault="006636F4" w:rsidP="007E591A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Aprovar, por unanimidade, o voto d</w:t>
      </w:r>
      <w:r w:rsidR="007E591A" w:rsidRPr="007E591A">
        <w:rPr>
          <w:rFonts w:ascii="Times New Roman" w:hAnsi="Times New Roman"/>
        </w:rPr>
        <w:t>a</w:t>
      </w:r>
      <w:r w:rsidRPr="007E591A">
        <w:rPr>
          <w:rFonts w:ascii="Times New Roman" w:hAnsi="Times New Roman"/>
        </w:rPr>
        <w:t xml:space="preserve"> Conselheir</w:t>
      </w:r>
      <w:r w:rsidR="007E591A" w:rsidRPr="007E591A">
        <w:rPr>
          <w:rFonts w:ascii="Times New Roman" w:hAnsi="Times New Roman"/>
        </w:rPr>
        <w:t>a</w:t>
      </w:r>
      <w:r w:rsidRPr="007E591A">
        <w:rPr>
          <w:rFonts w:ascii="Times New Roman" w:hAnsi="Times New Roman"/>
        </w:rPr>
        <w:t xml:space="preserve"> Relator</w:t>
      </w:r>
      <w:r w:rsidR="007E591A" w:rsidRPr="007E591A">
        <w:rPr>
          <w:rFonts w:ascii="Times New Roman" w:hAnsi="Times New Roman"/>
        </w:rPr>
        <w:t>a</w:t>
      </w:r>
      <w:r w:rsidRPr="007E591A">
        <w:rPr>
          <w:rFonts w:ascii="Times New Roman" w:hAnsi="Times New Roman"/>
        </w:rPr>
        <w:t>, nos seguintes termos</w:t>
      </w:r>
      <w:r w:rsidR="00324AFC" w:rsidRPr="007E591A">
        <w:rPr>
          <w:rFonts w:ascii="Times New Roman" w:hAnsi="Times New Roman"/>
        </w:rPr>
        <w:t xml:space="preserve">: em </w:t>
      </w:r>
      <w:r w:rsidR="00AB09D7" w:rsidRPr="007E591A">
        <w:rPr>
          <w:rFonts w:ascii="Times New Roman" w:hAnsi="Times New Roman"/>
        </w:rPr>
        <w:t xml:space="preserve">suma, </w:t>
      </w:r>
      <w:r w:rsidR="007E591A" w:rsidRPr="006E644D">
        <w:rPr>
          <w:rFonts w:ascii="Times New Roman" w:hAnsi="Times New Roman"/>
        </w:rPr>
        <w:t xml:space="preserve">analisado o conjunto probatório presente nos autos do processo ético-disciplinar SICCAU nº 275632/2015, julgo improcedente a denúncia relacionada ao Sr. </w:t>
      </w:r>
      <w:r w:rsidR="007E591A">
        <w:rPr>
          <w:rFonts w:ascii="Times New Roman" w:hAnsi="Times New Roman"/>
        </w:rPr>
        <w:t xml:space="preserve">André Luiz </w:t>
      </w:r>
      <w:proofErr w:type="spellStart"/>
      <w:r w:rsidR="007E591A">
        <w:rPr>
          <w:rFonts w:ascii="Times New Roman" w:hAnsi="Times New Roman"/>
        </w:rPr>
        <w:t>Detânico</w:t>
      </w:r>
      <w:proofErr w:type="spellEnd"/>
      <w:r w:rsidR="007E591A" w:rsidRPr="006E644D">
        <w:rPr>
          <w:rFonts w:ascii="Times New Roman" w:hAnsi="Times New Roman"/>
        </w:rPr>
        <w:t>, por insuficiência de provas acerca de sua responsabilidade</w:t>
      </w:r>
      <w:r w:rsidR="007E591A">
        <w:rPr>
          <w:rFonts w:ascii="Times New Roman" w:hAnsi="Times New Roman"/>
        </w:rPr>
        <w:t xml:space="preserve"> acerca do fato denunciado</w:t>
      </w:r>
      <w:r w:rsidR="007E591A" w:rsidRPr="006E644D">
        <w:rPr>
          <w:rFonts w:ascii="Times New Roman" w:hAnsi="Times New Roman"/>
        </w:rPr>
        <w:t xml:space="preserve">, e julgo procedente a denúncia relacionada ao Sr. Tarso Carneiro, votando pela aplicação da penalidade de </w:t>
      </w:r>
      <w:r w:rsidR="007E591A" w:rsidRPr="007E591A">
        <w:rPr>
          <w:rFonts w:ascii="Times New Roman" w:hAnsi="Times New Roman"/>
        </w:rPr>
        <w:t>CENSURA PÚBLICA</w:t>
      </w:r>
      <w:r w:rsidR="007E591A" w:rsidRPr="006E644D">
        <w:rPr>
          <w:rFonts w:ascii="Times New Roman" w:hAnsi="Times New Roman"/>
        </w:rPr>
        <w:t>, por infração ao art. 9º, inciso V, alínea “c”, do Código de Ética Profissional, aprovado pela Resolução CONFEA nº 1.002/2002.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  <w:bookmarkStart w:id="0" w:name="_GoBack"/>
      <w:bookmarkEnd w:id="0"/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AE0258" w:rsidRPr="00D47AB6" w:rsidRDefault="00EE6D91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D47AB6" w:rsidRPr="00D47AB6">
        <w:rPr>
          <w:rFonts w:ascii="Times New Roman" w:hAnsi="Times New Roman"/>
        </w:rPr>
        <w:t>27 de novembro de 2018</w:t>
      </w:r>
      <w:r w:rsidR="00AE0258" w:rsidRPr="00D47AB6">
        <w:rPr>
          <w:rFonts w:ascii="Times New Roman" w:hAnsi="Times New Roman"/>
        </w:rPr>
        <w:t>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ROBERTA KRAHE EDELWEISS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Coordenadora Adjunta </w:t>
            </w:r>
            <w:r w:rsidRPr="00D47AB6">
              <w:rPr>
                <w:rFonts w:ascii="Times New Roman" w:hAnsi="Times New Roman"/>
                <w:i/>
              </w:rPr>
              <w:t>ad hoc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7E591A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CAA2-F368-4CBA-BD55-A35A731C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2018-11-22T18:54:00Z</cp:lastPrinted>
  <dcterms:created xsi:type="dcterms:W3CDTF">2018-11-23T18:45:00Z</dcterms:created>
  <dcterms:modified xsi:type="dcterms:W3CDTF">2018-11-23T18:50:00Z</dcterms:modified>
</cp:coreProperties>
</file>