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14875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588966/2017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E. C. Z.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A. M. F. Z.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  <w:r w:rsidR="00F631CD" w:rsidRPr="00F631CD">
              <w:rPr>
                <w:rFonts w:ascii="Times New Roman" w:hAnsi="Times New Roman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Márcia Elizabeth Martins</w:t>
            </w:r>
          </w:p>
        </w:tc>
      </w:tr>
    </w:tbl>
    <w:p w:rsidR="00F2267F" w:rsidRPr="00F631C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F631CD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F63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066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21 de maio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F631CD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F631CD">
        <w:rPr>
          <w:rFonts w:ascii="Times New Roman" w:hAnsi="Times New Roman"/>
        </w:rPr>
        <w:t>s pela Conselheira</w:t>
      </w:r>
      <w:r w:rsidRPr="00F631CD">
        <w:rPr>
          <w:rFonts w:ascii="Times New Roman" w:hAnsi="Times New Roman"/>
        </w:rPr>
        <w:t xml:space="preserve"> Relator</w:t>
      </w:r>
      <w:r w:rsidR="00F631CD">
        <w:rPr>
          <w:rFonts w:ascii="Times New Roman" w:hAnsi="Times New Roman"/>
        </w:rPr>
        <w:t>a</w:t>
      </w:r>
      <w:r w:rsidRPr="00F631CD">
        <w:rPr>
          <w:rFonts w:ascii="Times New Roman" w:hAnsi="Times New Roman"/>
        </w:rPr>
        <w:t xml:space="preserve"> </w:t>
      </w:r>
      <w:r w:rsidR="00F631CD" w:rsidRPr="00F631CD">
        <w:rPr>
          <w:rFonts w:ascii="Times New Roman" w:hAnsi="Times New Roman"/>
        </w:rPr>
        <w:t>Márcia Elizabeth Martins</w:t>
      </w:r>
      <w:r w:rsidRPr="00F631CD">
        <w:rPr>
          <w:rFonts w:ascii="Times New Roman" w:hAnsi="Times New Roman"/>
          <w:lang w:eastAsia="pt-BR"/>
        </w:rPr>
        <w:t xml:space="preserve"> no parecer de admissibilidade;</w:t>
      </w:r>
    </w:p>
    <w:p w:rsidR="00F1062F" w:rsidRPr="00F631CD" w:rsidRDefault="00F1062F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184F0B" w:rsidRDefault="007A4BAA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  <w:lang w:eastAsia="pt-BR"/>
        </w:rPr>
        <w:t xml:space="preserve">Considerando </w:t>
      </w:r>
      <w:r w:rsidR="00184F0B">
        <w:rPr>
          <w:rFonts w:ascii="Times New Roman" w:hAnsi="Times New Roman"/>
          <w:lang w:eastAsia="pt-BR"/>
        </w:rPr>
        <w:t>o acordo obtido entre as partes em audiência de conciliação realizada no dia 21 de janeiro de 2019, nos seguintes termos:</w:t>
      </w:r>
    </w:p>
    <w:p w:rsidR="00184F0B" w:rsidRDefault="00184F0B" w:rsidP="00184F0B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184F0B">
        <w:rPr>
          <w:rFonts w:ascii="Times New Roman" w:hAnsi="Times New Roman"/>
          <w:sz w:val="20"/>
        </w:rPr>
        <w:t>A</w:t>
      </w:r>
      <w:r w:rsidR="00F47FF8" w:rsidRPr="00F47FF8">
        <w:rPr>
          <w:rFonts w:ascii="Times New Roman" w:hAnsi="Times New Roman"/>
          <w:sz w:val="20"/>
        </w:rPr>
        <w:t xml:space="preserve"> denunciada se compromete a restituir o Condomínio Edifício Parati, CNPJ 04.762.141/0001-00, na quantia de mil reais, a ser depositado na conta corrente da administradora do condomínio, Crédito Real Imóveis e Condomínios S/A, CNPJ nº 92.691.336/0001-66, banco Bradesco 237, agência 3708, conta corrente 44253, em duas parcelas de quinhentos reais, nos dias 31 de janeiro de 2019 e 28 de fevereiro de 2019, cujos comprovantes de pagamento devem ser encaminhados ao CAU/RS pela denunciada, ficando entendido que o problema motivador da denúncia foi solucionado. Declaram as partes, de forma expressa, que, cumpridos os termos do acordo aqui pactuado, renunciam ao direito de recurso, bem como a parte denunciante desiste de prosseguir com o processo de denúncia, razões pelas quais os termos serão encaminhados à Comissão de Ética e Disciplina do CAU/RS para homologação. Suspende-se o processo e a pretensão punitiva (nos termos do art. 91, § 4º, da Resolução nº 143 do CAU/BR), pelo prazo de sessenta dias, ficando a parte denunciante intimada a comprovar o inadimplemento das condições aqui firmadas, sendo que, em não havendo manifestação no prazo referido, entender-se-ão cumpridos os termos do acordo, ocasião em que o processo será remetido, no estado em que se encontra à relatora para parecer de admissibilidade e submissão à Comissão.</w:t>
      </w:r>
      <w:bookmarkStart w:id="0" w:name="_GoBack"/>
      <w:bookmarkEnd w:id="0"/>
    </w:p>
    <w:p w:rsidR="007A4BAA" w:rsidRPr="00F631CD" w:rsidRDefault="00F47FF8" w:rsidP="0027621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que, segundo o parecer de admissibilidade apresentado pela relatora, </w:t>
      </w:r>
      <w:r w:rsidR="007A4BAA" w:rsidRPr="00F631CD">
        <w:rPr>
          <w:rFonts w:ascii="Times New Roman" w:hAnsi="Times New Roman"/>
          <w:lang w:eastAsia="pt-BR"/>
        </w:rPr>
        <w:t xml:space="preserve">foram cumpridos os termos do acordo, uma vez que </w:t>
      </w:r>
      <w:r w:rsidR="007A4BAA" w:rsidRPr="00F631CD">
        <w:rPr>
          <w:rFonts w:ascii="Times New Roman" w:hAnsi="Times New Roman"/>
        </w:rPr>
        <w:t>a parte denunciante</w:t>
      </w:r>
      <w:r>
        <w:rPr>
          <w:rFonts w:ascii="Times New Roman" w:hAnsi="Times New Roman"/>
        </w:rPr>
        <w:t xml:space="preserve"> </w:t>
      </w:r>
      <w:r w:rsidR="007A4BAA" w:rsidRPr="00F631CD">
        <w:rPr>
          <w:rFonts w:ascii="Times New Roman" w:hAnsi="Times New Roman"/>
        </w:rPr>
        <w:t xml:space="preserve">não </w:t>
      </w:r>
      <w:r w:rsidR="00915FFB">
        <w:rPr>
          <w:rFonts w:ascii="Times New Roman" w:hAnsi="Times New Roman"/>
        </w:rPr>
        <w:t>apresentou comprovação de inadimplemento</w:t>
      </w:r>
      <w:r w:rsidR="007A4BAA" w:rsidRPr="00F631CD">
        <w:rPr>
          <w:rFonts w:ascii="Times New Roman" w:hAnsi="Times New Roman"/>
        </w:rPr>
        <w:t>;</w:t>
      </w:r>
    </w:p>
    <w:p w:rsidR="009370FB" w:rsidRPr="00F631CD" w:rsidRDefault="009370FB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que, em audiência de conciliação (fl</w:t>
      </w:r>
      <w:r w:rsidR="00F631CD">
        <w:rPr>
          <w:rFonts w:ascii="Times New Roman" w:hAnsi="Times New Roman"/>
        </w:rPr>
        <w:t>s</w:t>
      </w:r>
      <w:r w:rsidRPr="00F631CD">
        <w:rPr>
          <w:rFonts w:ascii="Times New Roman" w:hAnsi="Times New Roman"/>
        </w:rPr>
        <w:t xml:space="preserve">. </w:t>
      </w:r>
      <w:r w:rsidR="00F631CD">
        <w:rPr>
          <w:rFonts w:ascii="Times New Roman" w:hAnsi="Times New Roman"/>
        </w:rPr>
        <w:t>81/82</w:t>
      </w:r>
      <w:r w:rsidRPr="00F631CD">
        <w:rPr>
          <w:rFonts w:ascii="Times New Roman" w:hAnsi="Times New Roman"/>
        </w:rPr>
        <w:t xml:space="preserve">), </w:t>
      </w:r>
      <w:r w:rsidR="00915FFB">
        <w:rPr>
          <w:rFonts w:ascii="Times New Roman" w:hAnsi="Times New Roman"/>
        </w:rPr>
        <w:t xml:space="preserve">as partes </w:t>
      </w:r>
      <w:r w:rsidRPr="00F631CD">
        <w:rPr>
          <w:rFonts w:ascii="Times New Roman" w:hAnsi="Times New Roman"/>
        </w:rPr>
        <w:t xml:space="preserve">renunciaram </w:t>
      </w:r>
      <w:r w:rsidR="00915FFB" w:rsidRPr="00F631CD">
        <w:rPr>
          <w:rFonts w:ascii="Times New Roman" w:hAnsi="Times New Roman"/>
        </w:rPr>
        <w:t xml:space="preserve">expressamente </w:t>
      </w:r>
      <w:r w:rsidRPr="00F631CD">
        <w:rPr>
          <w:rFonts w:ascii="Times New Roman" w:hAnsi="Times New Roman"/>
        </w:rPr>
        <w:t>ao direito de recorrer;</w:t>
      </w:r>
    </w:p>
    <w:p w:rsidR="00F1062F" w:rsidRDefault="00F1062F" w:rsidP="00F631CD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Considerando o que estabelece o art. 112, e o art. 113, inciso I, da Resolução nº 143 do CAU/BR;</w:t>
      </w:r>
    </w:p>
    <w:p w:rsidR="00F631CD" w:rsidRPr="00F631CD" w:rsidRDefault="00F631CD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lastRenderedPageBreak/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15FFB" w:rsidRPr="00915FFB" w:rsidRDefault="00684293" w:rsidP="003124ED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915FFB">
        <w:rPr>
          <w:rFonts w:ascii="Times New Roman" w:hAnsi="Times New Roman"/>
        </w:rPr>
        <w:t>Homologar os termos do acordo e a</w:t>
      </w:r>
      <w:r w:rsidR="007A4BAA" w:rsidRPr="00915FFB">
        <w:rPr>
          <w:rFonts w:ascii="Times New Roman" w:hAnsi="Times New Roman"/>
        </w:rPr>
        <w:t xml:space="preserve">provar o parecer </w:t>
      </w:r>
      <w:r w:rsidR="00F631CD" w:rsidRPr="00915FFB">
        <w:rPr>
          <w:rFonts w:ascii="Times New Roman" w:hAnsi="Times New Roman"/>
        </w:rPr>
        <w:t xml:space="preserve">de admissibilidade </w:t>
      </w:r>
      <w:r w:rsidR="007A4BAA" w:rsidRPr="00915FFB">
        <w:rPr>
          <w:rFonts w:ascii="Times New Roman" w:hAnsi="Times New Roman"/>
        </w:rPr>
        <w:t>d</w:t>
      </w:r>
      <w:r w:rsidR="00F631CD" w:rsidRPr="00915FFB">
        <w:rPr>
          <w:rFonts w:ascii="Times New Roman" w:hAnsi="Times New Roman"/>
        </w:rPr>
        <w:t>a</w:t>
      </w:r>
      <w:r w:rsidR="007A4BAA" w:rsidRPr="00915FFB">
        <w:rPr>
          <w:rFonts w:ascii="Times New Roman" w:hAnsi="Times New Roman"/>
        </w:rPr>
        <w:t xml:space="preserve"> Conselheir</w:t>
      </w:r>
      <w:r w:rsidR="00F631CD" w:rsidRPr="00915FFB">
        <w:rPr>
          <w:rFonts w:ascii="Times New Roman" w:hAnsi="Times New Roman"/>
        </w:rPr>
        <w:t>a</w:t>
      </w:r>
      <w:r w:rsidR="007A4BAA" w:rsidRPr="00915FFB">
        <w:rPr>
          <w:rFonts w:ascii="Times New Roman" w:hAnsi="Times New Roman"/>
        </w:rPr>
        <w:t xml:space="preserve"> Relator</w:t>
      </w:r>
      <w:r w:rsidR="00F631CD" w:rsidRPr="00915FFB">
        <w:rPr>
          <w:rFonts w:ascii="Times New Roman" w:hAnsi="Times New Roman"/>
        </w:rPr>
        <w:t>a</w:t>
      </w:r>
      <w:r w:rsidR="007A4BAA" w:rsidRPr="00915FFB">
        <w:rPr>
          <w:rFonts w:ascii="Times New Roman" w:hAnsi="Times New Roman"/>
        </w:rPr>
        <w:t xml:space="preserve">, que opinou </w:t>
      </w:r>
      <w:r w:rsidR="00915FFB" w:rsidRPr="00915FFB">
        <w:rPr>
          <w:rFonts w:ascii="Times New Roman" w:hAnsi="Times New Roman"/>
        </w:rPr>
        <w:t xml:space="preserve">pelo não acatamento da denúncia com base no </w:t>
      </w:r>
      <w:r w:rsidR="00915FFB" w:rsidRPr="00915FFB">
        <w:rPr>
          <w:rFonts w:ascii="Times New Roman" w:hAnsi="Times New Roman"/>
        </w:rPr>
        <w:t>art. 112</w:t>
      </w:r>
      <w:r w:rsidR="00915FFB" w:rsidRPr="00915FFB">
        <w:rPr>
          <w:rFonts w:ascii="Times New Roman" w:hAnsi="Times New Roman"/>
        </w:rPr>
        <w:t xml:space="preserve"> da Resolução CAU/BR nº 143/2017 e pela extinção do feito, com base no art. 113, incisos I, da resolução supracitada, uma vez que o objeto motivador da denúncia foi dirimido por meio do acordo obtido entre as partes em audiência de conciliação</w:t>
      </w:r>
      <w:r w:rsidR="00915FFB" w:rsidRPr="00915FFB">
        <w:rPr>
          <w:rFonts w:ascii="Times New Roman" w:hAnsi="Times New Roman"/>
        </w:rPr>
        <w:t xml:space="preserve"> </w:t>
      </w:r>
    </w:p>
    <w:p w:rsidR="00E57245" w:rsidRPr="00915FFB" w:rsidRDefault="00E57245" w:rsidP="003124ED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915FFB">
        <w:rPr>
          <w:rFonts w:ascii="Times New Roman" w:hAnsi="Times New Roman"/>
        </w:rPr>
        <w:t>Arquive-se</w:t>
      </w:r>
      <w:r w:rsidR="007A4BAA" w:rsidRPr="00915FFB">
        <w:rPr>
          <w:rFonts w:ascii="Times New Roman" w:hAnsi="Times New Roman"/>
        </w:rPr>
        <w:t xml:space="preserve"> liminarmente, </w:t>
      </w:r>
      <w:r w:rsidR="009370FB" w:rsidRPr="00915FFB">
        <w:rPr>
          <w:rFonts w:ascii="Times New Roman" w:hAnsi="Times New Roman"/>
        </w:rPr>
        <w:t xml:space="preserve">extinguindo-se o processo, </w:t>
      </w:r>
      <w:r w:rsidR="007A4BAA" w:rsidRPr="00915FFB">
        <w:rPr>
          <w:rFonts w:ascii="Times New Roman" w:hAnsi="Times New Roman"/>
        </w:rPr>
        <w:t>nos termos do art</w:t>
      </w:r>
      <w:r w:rsidR="009370FB" w:rsidRPr="00915FFB">
        <w:rPr>
          <w:rFonts w:ascii="Times New Roman" w:hAnsi="Times New Roman"/>
        </w:rPr>
        <w:t>. 21</w:t>
      </w:r>
      <w:r w:rsidR="007A4BAA" w:rsidRPr="00915FFB">
        <w:rPr>
          <w:rFonts w:ascii="Times New Roman" w:hAnsi="Times New Roman"/>
        </w:rPr>
        <w:t>, c/</w:t>
      </w:r>
      <w:proofErr w:type="gramStart"/>
      <w:r w:rsidR="007A4BAA" w:rsidRPr="00915FFB">
        <w:rPr>
          <w:rFonts w:ascii="Times New Roman" w:hAnsi="Times New Roman"/>
        </w:rPr>
        <w:t>c</w:t>
      </w:r>
      <w:proofErr w:type="gramEnd"/>
      <w:r w:rsidR="007A4BAA" w:rsidRPr="00915FFB">
        <w:rPr>
          <w:rFonts w:ascii="Times New Roman" w:hAnsi="Times New Roman"/>
        </w:rPr>
        <w:t xml:space="preserve"> art</w:t>
      </w:r>
      <w:r w:rsidR="009370FB" w:rsidRPr="00915FFB">
        <w:rPr>
          <w:rFonts w:ascii="Times New Roman" w:hAnsi="Times New Roman"/>
        </w:rPr>
        <w:t>igos</w:t>
      </w:r>
      <w:r w:rsidR="007A4BAA" w:rsidRPr="00915FFB">
        <w:rPr>
          <w:rFonts w:ascii="Times New Roman" w:hAnsi="Times New Roman"/>
        </w:rPr>
        <w:t xml:space="preserve"> 91</w:t>
      </w:r>
      <w:r w:rsidR="009370FB" w:rsidRPr="00915FFB">
        <w:rPr>
          <w:rFonts w:ascii="Times New Roman" w:hAnsi="Times New Roman"/>
        </w:rPr>
        <w:t xml:space="preserve"> e 112, todos </w:t>
      </w:r>
      <w:r w:rsidR="007A4BAA" w:rsidRPr="00915FFB">
        <w:rPr>
          <w:rFonts w:ascii="Times New Roman" w:hAnsi="Times New Roman"/>
        </w:rPr>
        <w:t>da Resolução nº 143 do CAU/BR</w:t>
      </w:r>
      <w:r w:rsidRPr="00915FFB">
        <w:rPr>
          <w:rFonts w:ascii="Times New Roman" w:hAnsi="Times New Roman"/>
        </w:rPr>
        <w:t>.</w:t>
      </w:r>
    </w:p>
    <w:p w:rsidR="00F1062F" w:rsidRPr="00915FFB" w:rsidRDefault="00F1062F" w:rsidP="00915FFB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915FFB">
        <w:rPr>
          <w:rFonts w:ascii="Times New Roman" w:hAnsi="Times New Roman"/>
        </w:rPr>
        <w:t xml:space="preserve">Intimar </w:t>
      </w:r>
      <w:r w:rsidR="00915FFB" w:rsidRPr="00915FFB">
        <w:rPr>
          <w:rFonts w:ascii="Times New Roman" w:hAnsi="Times New Roman"/>
        </w:rPr>
        <w:t>as partes do arquivamento do processo.</w:t>
      </w:r>
    </w:p>
    <w:p w:rsidR="00C829D5" w:rsidRPr="00F631C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915FFB">
            <w:rPr>
              <w:rFonts w:ascii="Times New Roman" w:hAnsi="Times New Roman"/>
            </w:rPr>
            <w:t>quatro</w:t>
          </w:r>
        </w:sdtContent>
      </w:sdt>
      <w:r w:rsidRPr="00F631C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F631C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F631CD">
        <w:rPr>
          <w:rFonts w:ascii="Times New Roman" w:hAnsi="Times New Roman"/>
        </w:rPr>
        <w:t xml:space="preserve">; </w:t>
      </w:r>
    </w:p>
    <w:p w:rsidR="00F2267F" w:rsidRPr="00F631CD" w:rsidRDefault="00F2267F" w:rsidP="00F2267F">
      <w:pPr>
        <w:jc w:val="both"/>
        <w:rPr>
          <w:rFonts w:ascii="Times New Roman" w:hAnsi="Times New Roman"/>
        </w:rPr>
      </w:pPr>
    </w:p>
    <w:p w:rsidR="00F2267F" w:rsidRPr="00F631C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F631CD">
        <w:rPr>
          <w:rFonts w:ascii="Times New Roman" w:hAnsi="Times New Roman"/>
        </w:rPr>
        <w:t>21 de maio de 2019</w:t>
      </w:r>
      <w:r w:rsidRPr="00F631CD">
        <w:rPr>
          <w:rFonts w:ascii="Times New Roman" w:hAnsi="Times New Roman"/>
        </w:rPr>
        <w:t>.</w:t>
      </w:r>
    </w:p>
    <w:p w:rsidR="00F2267F" w:rsidRPr="00F631CD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RUI MINEIRO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NOE VE</w:t>
            </w:r>
            <w:r w:rsidR="00154581" w:rsidRPr="00F631CD">
              <w:rPr>
                <w:rFonts w:ascii="Times New Roman" w:hAnsi="Times New Roman"/>
                <w:b/>
              </w:rPr>
              <w:t>G</w:t>
            </w:r>
            <w:r w:rsidRPr="00F631CD">
              <w:rPr>
                <w:rFonts w:ascii="Times New Roman" w:hAnsi="Times New Roman"/>
                <w:b/>
              </w:rPr>
              <w:t>A COTTA DE MELLO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47FF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C612-BE57-4BD8-BBEF-2AF4318E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14</cp:revision>
  <cp:lastPrinted>2017-08-23T16:47:00Z</cp:lastPrinted>
  <dcterms:created xsi:type="dcterms:W3CDTF">2018-04-12T14:23:00Z</dcterms:created>
  <dcterms:modified xsi:type="dcterms:W3CDTF">2019-05-20T16:01:00Z</dcterms:modified>
</cp:coreProperties>
</file>