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4D5F4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D5F43">
              <w:rPr>
                <w:rFonts w:ascii="Times New Roman" w:hAnsi="Times New Roman"/>
                <w:szCs w:val="22"/>
              </w:rPr>
              <w:t>17147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4D5F4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D5F43">
              <w:rPr>
                <w:rFonts w:ascii="Times New Roman" w:hAnsi="Times New Roman"/>
                <w:szCs w:val="22"/>
              </w:rPr>
              <w:t>V. L. J. G.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>Arq. e Urb.</w:t>
            </w:r>
            <w:r w:rsidR="004D5F43">
              <w:rPr>
                <w:rFonts w:ascii="Times New Roman" w:hAnsi="Times New Roman"/>
                <w:szCs w:val="22"/>
              </w:rPr>
              <w:t xml:space="preserve"> C. R. M.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4D5F43" w:rsidRDefault="004D5F43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D5F43">
              <w:rPr>
                <w:rFonts w:ascii="Times New Roman" w:hAnsi="Times New Roman"/>
                <w:szCs w:val="22"/>
              </w:rPr>
              <w:t xml:space="preserve">Arq. e Urb. </w:t>
            </w:r>
            <w:sdt>
              <w:sdtPr>
                <w:rPr>
                  <w:rFonts w:ascii="Times New Roman" w:hAnsi="Times New Roman"/>
                  <w:lang w:eastAsia="pt-BR"/>
                </w:rPr>
                <w:id w:val="-1939438418"/>
                <w:placeholder>
                  <w:docPart w:val="145D1D1DA0134D0D985214F7F3DBBCB8"/>
                </w:placeholder>
                <w:dropDownList>
                  <w:listItem w:value="Escolher um item."/>
                  <w:listItem w:displayText="Rui Mineiro" w:value="Rui Mineiro"/>
                  <w:listItem w:displayText="Noe Vega Cotta de Mello" w:value="Noe Vega Cotta de Mello"/>
                  <w:listItem w:displayText="Rodrigo Spinelli" w:value="Rodrigo Spinelli"/>
                  <w:listItem w:displayText="Sergio Luiz Duarte Zimmermann" w:value="Sergio Luiz Duarte Zimmermann"/>
                </w:dropDownList>
              </w:sdtPr>
              <w:sdtEndPr/>
              <w:sdtContent>
                <w:r>
                  <w:rPr>
                    <w:rFonts w:ascii="Times New Roman" w:hAnsi="Times New Roman"/>
                    <w:lang w:eastAsia="pt-BR"/>
                  </w:rPr>
                  <w:t>Noe Vega Cotta de Mello</w:t>
                </w:r>
              </w:sdtContent>
            </w:sdt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CD5B8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CD5B89">
              <w:rPr>
                <w:rFonts w:ascii="Times New Roman" w:hAnsi="Times New Roman"/>
                <w:b/>
              </w:rPr>
              <w:t>064</w:t>
            </w:r>
            <w:r w:rsidR="004D5F43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6C0F5E">
        <w:rPr>
          <w:rStyle w:val="nfase"/>
          <w:rFonts w:ascii="Times New Roman" w:hAnsi="Times New Roman"/>
          <w:i w:val="0"/>
          <w:iCs w:val="0"/>
          <w:noProof/>
        </w:rPr>
        <w:t>16 de outubro de 2018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4D5F4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4D5F43" w:rsidRDefault="004D5F43" w:rsidP="004D5F43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Oficiar ao denunciado da decisão, após o prazo recursal, caso não haja interposição de recurso pela parte denunciante, ou, se houver interposição de recurso, a decisão não seja reconsiderada pelo Plenário. </w:t>
      </w: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C829D5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</w:rPr>
            <w:t>três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D5B89">
        <w:rPr>
          <w:rFonts w:ascii="Times New Roman" w:hAnsi="Times New Roman"/>
          <w:sz w:val="22"/>
          <w:szCs w:val="22"/>
        </w:rPr>
        <w:t>.</w:t>
      </w:r>
    </w:p>
    <w:p w:rsidR="00E42646" w:rsidRPr="00F27F17" w:rsidRDefault="00E42646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6C0F5E">
        <w:rPr>
          <w:rFonts w:ascii="Times New Roman" w:hAnsi="Times New Roman"/>
          <w:noProof/>
        </w:rPr>
        <w:t>16 de outubro de 2018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E42646" w:rsidRDefault="00E42646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E42646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D5F43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C0F5E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D5B89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64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45D1D1DA0134D0D985214F7F3DBB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5D6DE-9FF8-471D-A4EC-801106B91281}"/>
      </w:docPartPr>
      <w:docPartBody>
        <w:p w:rsidR="007C366B" w:rsidRDefault="00C50C05" w:rsidP="00C50C05">
          <w:pPr>
            <w:pStyle w:val="145D1D1DA0134D0D985214F7F3DBBCB8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7C366B"/>
    <w:rsid w:val="00BE5C6F"/>
    <w:rsid w:val="00C50C05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50C05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45D1D1DA0134D0D985214F7F3DBBCB8">
    <w:name w:val="145D1D1DA0134D0D985214F7F3DBBCB8"/>
    <w:rsid w:val="00C50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2F0A-4F0C-426D-B191-6F739A7F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65</cp:revision>
  <cp:lastPrinted>2017-08-23T16:47:00Z</cp:lastPrinted>
  <dcterms:created xsi:type="dcterms:W3CDTF">2017-09-30T17:16:00Z</dcterms:created>
  <dcterms:modified xsi:type="dcterms:W3CDTF">2018-10-16T16:00:00Z</dcterms:modified>
</cp:coreProperties>
</file>