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0F42F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F42F2" w:rsidRPr="00D47AB6" w:rsidRDefault="000F42F2" w:rsidP="000F42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F42F2" w:rsidRPr="00C5602B" w:rsidRDefault="000F42F2" w:rsidP="000F42F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5602B">
              <w:rPr>
                <w:rFonts w:ascii="Times New Roman" w:hAnsi="Times New Roman"/>
                <w:szCs w:val="22"/>
              </w:rPr>
              <w:t>8539</w:t>
            </w:r>
          </w:p>
        </w:tc>
      </w:tr>
      <w:tr w:rsidR="000F42F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F42F2" w:rsidRPr="00D47AB6" w:rsidRDefault="000F42F2" w:rsidP="000F42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F42F2" w:rsidRPr="00C5602B" w:rsidRDefault="000F42F2" w:rsidP="000F42F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431.895/2016</w:t>
            </w:r>
          </w:p>
        </w:tc>
      </w:tr>
      <w:tr w:rsidR="000F42F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F42F2" w:rsidRPr="00D47AB6" w:rsidRDefault="000F42F2" w:rsidP="000F42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F42F2" w:rsidRPr="00C5602B" w:rsidRDefault="000F42F2" w:rsidP="000F42F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M. B. </w:t>
            </w:r>
          </w:p>
        </w:tc>
      </w:tr>
      <w:tr w:rsidR="000F42F2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F42F2" w:rsidRPr="00D47AB6" w:rsidRDefault="000F42F2" w:rsidP="000F42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F42F2" w:rsidRPr="00C5602B" w:rsidRDefault="000F42F2" w:rsidP="000F42F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F. F. e C. R.</w:t>
            </w:r>
          </w:p>
        </w:tc>
      </w:tr>
      <w:tr w:rsidR="000F42F2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F42F2" w:rsidRPr="00D47AB6" w:rsidRDefault="000F42F2" w:rsidP="000F42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F42F2" w:rsidRDefault="000F42F2" w:rsidP="000F42F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0F42F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0F42F2">
              <w:rPr>
                <w:rFonts w:ascii="Times New Roman" w:hAnsi="Times New Roman"/>
                <w:b/>
              </w:rPr>
              <w:t>9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962DA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0F42F2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0F42F2">
        <w:rPr>
          <w:rFonts w:ascii="Times New Roman" w:hAnsi="Times New Roman"/>
          <w:sz w:val="20"/>
        </w:rPr>
        <w:t>Por derradeiro, este relator não identificou de forma segura, através da instrução do presente processo, que as arquitetas denunciadas tenham tido conduta irregular e antiética na relação com o contratante ou na prestação de seus serviços. Deste modo, analisado o conjunto probatório presente nos autos do Processo Ético-Disciplinar SICCAU nº 431895 de 2016, julgo improcedente a denúncia, uma vez que não restaram comprovadas as infrações previstas no inciso X, do Art. 18, da Lei nº 12.378 de 2010 e nos itens 3.2.4, 3.2.11 e 3.2.12 do Código de É</w:t>
      </w:r>
      <w:bookmarkStart w:id="0" w:name="_GoBack"/>
      <w:bookmarkEnd w:id="0"/>
      <w:r w:rsidRPr="000F42F2">
        <w:rPr>
          <w:rFonts w:ascii="Times New Roman" w:hAnsi="Times New Roman"/>
          <w:sz w:val="20"/>
        </w:rPr>
        <w:t xml:space="preserve">tica e Disciplina pelo que voto pelo </w:t>
      </w:r>
      <w:r w:rsidRPr="000F42F2">
        <w:rPr>
          <w:rFonts w:ascii="Times New Roman" w:hAnsi="Times New Roman"/>
          <w:b/>
          <w:sz w:val="20"/>
        </w:rPr>
        <w:t>ARQUIVAMENTO</w:t>
      </w:r>
      <w:r w:rsidRPr="000F42F2">
        <w:rPr>
          <w:rFonts w:ascii="Times New Roman" w:hAnsi="Times New Roman"/>
          <w:sz w:val="20"/>
        </w:rPr>
        <w:t xml:space="preserve"> do presente processo.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0F42F2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9F71-355F-4E60-8A66-824E24AE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2019-05-15T13:03:00Z</dcterms:created>
  <dcterms:modified xsi:type="dcterms:W3CDTF">2019-05-15T13:05:00Z</dcterms:modified>
</cp:coreProperties>
</file>