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374EFE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74EFE" w:rsidRPr="00341CD0" w:rsidRDefault="00374EFE" w:rsidP="00374EF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74EFE" w:rsidRPr="00C52DC7" w:rsidRDefault="00374EFE" w:rsidP="00374EF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2001018913 -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534735/2017</w:t>
            </w:r>
          </w:p>
        </w:tc>
      </w:tr>
      <w:tr w:rsidR="00374EFE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74EFE" w:rsidRPr="00341CD0" w:rsidRDefault="00374EFE" w:rsidP="00374EF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74EFE" w:rsidRPr="00E24BD9" w:rsidRDefault="00374EFE" w:rsidP="00374EF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Z. C. L.</w:t>
            </w:r>
          </w:p>
        </w:tc>
      </w:tr>
      <w:tr w:rsidR="00374EFE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74EFE" w:rsidRPr="00341CD0" w:rsidRDefault="00374EFE" w:rsidP="00374EF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74EFE" w:rsidRPr="00506D8B" w:rsidRDefault="00374EFE" w:rsidP="00374EF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M. DE S.</w:t>
            </w:r>
          </w:p>
        </w:tc>
      </w:tr>
      <w:tr w:rsidR="00374EFE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74EFE" w:rsidRPr="00341CD0" w:rsidRDefault="00374EFE" w:rsidP="00374EF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74EFE" w:rsidRPr="00C52DC7" w:rsidRDefault="00374EFE" w:rsidP="00374EF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08/12/2000</w:t>
            </w:r>
          </w:p>
        </w:tc>
      </w:tr>
      <w:tr w:rsidR="00374EFE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74EFE" w:rsidRPr="00341CD0" w:rsidRDefault="00374EFE" w:rsidP="00374EF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74EFE" w:rsidRPr="00C52DC7" w:rsidRDefault="00374EFE" w:rsidP="00374EF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F00C7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F00C70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F00C70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F00C70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F00C70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F00C70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F00C70">
        <w:rPr>
          <w:rFonts w:ascii="Times New Roman" w:hAnsi="Times New Roman"/>
          <w:sz w:val="20"/>
          <w:szCs w:val="20"/>
        </w:rPr>
        <w:t>001/2017</w:t>
      </w:r>
      <w:r w:rsidR="00F00C70" w:rsidRPr="00D719F5">
        <w:rPr>
          <w:rFonts w:ascii="Times New Roman" w:hAnsi="Times New Roman"/>
          <w:sz w:val="20"/>
          <w:szCs w:val="20"/>
        </w:rPr>
        <w:t xml:space="preserve"> (fls. </w:t>
      </w:r>
      <w:r w:rsidR="00F00C70">
        <w:rPr>
          <w:rFonts w:ascii="Times New Roman" w:hAnsi="Times New Roman"/>
          <w:sz w:val="20"/>
          <w:szCs w:val="20"/>
        </w:rPr>
        <w:t>173</w:t>
      </w:r>
      <w:r w:rsidR="00F00C70" w:rsidRPr="00D719F5">
        <w:rPr>
          <w:rFonts w:ascii="Times New Roman" w:hAnsi="Times New Roman"/>
          <w:sz w:val="20"/>
          <w:szCs w:val="20"/>
        </w:rPr>
        <w:t>/</w:t>
      </w:r>
      <w:r w:rsidR="00F00C70">
        <w:rPr>
          <w:rFonts w:ascii="Times New Roman" w:hAnsi="Times New Roman"/>
          <w:sz w:val="20"/>
          <w:szCs w:val="20"/>
        </w:rPr>
        <w:t>176</w:t>
      </w:r>
      <w:r w:rsidR="00F00C70">
        <w:rPr>
          <w:rFonts w:ascii="Times New Roman" w:hAnsi="Times New Roman"/>
          <w:sz w:val="20"/>
          <w:szCs w:val="20"/>
        </w:rPr>
        <w:t>);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F00C70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F00C70">
        <w:rPr>
          <w:rFonts w:ascii="Times New Roman" w:hAnsi="Times New Roman"/>
          <w:sz w:val="20"/>
          <w:szCs w:val="20"/>
        </w:rPr>
        <w:t>185).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A657DC">
        <w:rPr>
          <w:rFonts w:ascii="Times New Roman" w:hAnsi="Times New Roman"/>
          <w:sz w:val="20"/>
          <w:szCs w:val="20"/>
        </w:rPr>
        <w:t>23</w:t>
      </w:r>
      <w:r w:rsidR="00A657DC" w:rsidRPr="00C52DC7">
        <w:rPr>
          <w:rFonts w:ascii="Times New Roman" w:hAnsi="Times New Roman"/>
          <w:sz w:val="20"/>
          <w:szCs w:val="20"/>
        </w:rPr>
        <w:t xml:space="preserve"> de</w:t>
      </w:r>
      <w:r w:rsidR="00A657DC">
        <w:rPr>
          <w:rFonts w:ascii="Times New Roman" w:hAnsi="Times New Roman"/>
          <w:sz w:val="20"/>
          <w:szCs w:val="20"/>
        </w:rPr>
        <w:t xml:space="preserve"> novembro</w:t>
      </w:r>
      <w:r w:rsidR="00A657DC" w:rsidRPr="00C52DC7">
        <w:rPr>
          <w:rFonts w:ascii="Times New Roman" w:hAnsi="Times New Roman"/>
          <w:sz w:val="20"/>
          <w:szCs w:val="20"/>
        </w:rPr>
        <w:t xml:space="preserve"> de </w:t>
      </w:r>
      <w:r w:rsidR="00A657DC">
        <w:rPr>
          <w:rFonts w:ascii="Times New Roman" w:hAnsi="Times New Roman"/>
          <w:sz w:val="20"/>
          <w:szCs w:val="20"/>
        </w:rPr>
        <w:t>2017</w:t>
      </w:r>
      <w:r w:rsidR="00A657DC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72AF"/>
    <w:multiLevelType w:val="hybridMultilevel"/>
    <w:tmpl w:val="9404E1F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3EBA"/>
    <w:multiLevelType w:val="hybridMultilevel"/>
    <w:tmpl w:val="D65416A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826DE"/>
    <w:multiLevelType w:val="hybridMultilevel"/>
    <w:tmpl w:val="5D9CC6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15"/>
  </w:num>
  <w:num w:numId="8">
    <w:abstractNumId w:val="11"/>
  </w:num>
  <w:num w:numId="9">
    <w:abstractNumId w:val="9"/>
  </w:num>
  <w:num w:numId="10">
    <w:abstractNumId w:val="7"/>
  </w:num>
  <w:num w:numId="11">
    <w:abstractNumId w:val="12"/>
  </w:num>
  <w:num w:numId="12">
    <w:abstractNumId w:val="13"/>
  </w:num>
  <w:num w:numId="13">
    <w:abstractNumId w:val="14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4C6F"/>
    <w:rsid w:val="000B5769"/>
    <w:rsid w:val="000D13FC"/>
    <w:rsid w:val="000E28C9"/>
    <w:rsid w:val="000E71D0"/>
    <w:rsid w:val="000F0649"/>
    <w:rsid w:val="001100E4"/>
    <w:rsid w:val="001136C6"/>
    <w:rsid w:val="00115D3A"/>
    <w:rsid w:val="00121F68"/>
    <w:rsid w:val="00123042"/>
    <w:rsid w:val="0015027E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C5FFF"/>
    <w:rsid w:val="001D3CDB"/>
    <w:rsid w:val="001D558E"/>
    <w:rsid w:val="001E15D4"/>
    <w:rsid w:val="001E3263"/>
    <w:rsid w:val="001F74E5"/>
    <w:rsid w:val="0020186A"/>
    <w:rsid w:val="0020681B"/>
    <w:rsid w:val="00210173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ADC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16C52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74EFE"/>
    <w:rsid w:val="00380199"/>
    <w:rsid w:val="0038038E"/>
    <w:rsid w:val="00381432"/>
    <w:rsid w:val="00384730"/>
    <w:rsid w:val="00385DA6"/>
    <w:rsid w:val="00390B23"/>
    <w:rsid w:val="0039127B"/>
    <w:rsid w:val="00397742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E0E"/>
    <w:rsid w:val="004165F2"/>
    <w:rsid w:val="00420432"/>
    <w:rsid w:val="0042076A"/>
    <w:rsid w:val="0044294F"/>
    <w:rsid w:val="004524AD"/>
    <w:rsid w:val="0045317D"/>
    <w:rsid w:val="004532F7"/>
    <w:rsid w:val="00454BD4"/>
    <w:rsid w:val="00470F15"/>
    <w:rsid w:val="004724E3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3142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A4B86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5F7F0D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592E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773A5"/>
    <w:rsid w:val="007800E1"/>
    <w:rsid w:val="00782CE2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5EDE"/>
    <w:rsid w:val="0088752F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3A4"/>
    <w:rsid w:val="0092286C"/>
    <w:rsid w:val="00922FAD"/>
    <w:rsid w:val="00933794"/>
    <w:rsid w:val="009418FB"/>
    <w:rsid w:val="00945D2B"/>
    <w:rsid w:val="00950843"/>
    <w:rsid w:val="00953C9A"/>
    <w:rsid w:val="00956156"/>
    <w:rsid w:val="0096441F"/>
    <w:rsid w:val="00965CDB"/>
    <w:rsid w:val="009722FE"/>
    <w:rsid w:val="009728B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C2125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2A27"/>
    <w:rsid w:val="00A25517"/>
    <w:rsid w:val="00A26C8F"/>
    <w:rsid w:val="00A41D6C"/>
    <w:rsid w:val="00A440AB"/>
    <w:rsid w:val="00A45C96"/>
    <w:rsid w:val="00A479E5"/>
    <w:rsid w:val="00A56089"/>
    <w:rsid w:val="00A652E4"/>
    <w:rsid w:val="00A657DC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1107"/>
    <w:rsid w:val="00B35715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719E4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4148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1D99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1587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0B99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267"/>
    <w:rsid w:val="00DD479A"/>
    <w:rsid w:val="00DF371F"/>
    <w:rsid w:val="00DF51FA"/>
    <w:rsid w:val="00E03CF5"/>
    <w:rsid w:val="00E05C39"/>
    <w:rsid w:val="00E06DCC"/>
    <w:rsid w:val="00E0709A"/>
    <w:rsid w:val="00E10F05"/>
    <w:rsid w:val="00E14CC3"/>
    <w:rsid w:val="00E2160F"/>
    <w:rsid w:val="00E23ACA"/>
    <w:rsid w:val="00E24BD9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14DB"/>
    <w:rsid w:val="00EC4876"/>
    <w:rsid w:val="00ED0B34"/>
    <w:rsid w:val="00EE4085"/>
    <w:rsid w:val="00EF3CCE"/>
    <w:rsid w:val="00EF7502"/>
    <w:rsid w:val="00F00C70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DD6"/>
    <w:rsid w:val="00F57E9B"/>
    <w:rsid w:val="00F6106A"/>
    <w:rsid w:val="00F61A34"/>
    <w:rsid w:val="00F62BF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B42C5"/>
    <w:rsid w:val="00FB755A"/>
    <w:rsid w:val="00FC0B30"/>
    <w:rsid w:val="00FC4003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395E-8B9D-4EE5-BDAD-46538D4A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2017-06-19T18:35:00Z</cp:lastPrinted>
  <dcterms:created xsi:type="dcterms:W3CDTF">2017-11-06T17:06:00Z</dcterms:created>
  <dcterms:modified xsi:type="dcterms:W3CDTF">2017-11-06T17:06:00Z</dcterms:modified>
</cp:coreProperties>
</file>