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56089" w:rsidRPr="00EE6D91" w:rsidRDefault="00A56089" w:rsidP="006636F4">
      <w:pPr>
        <w:tabs>
          <w:tab w:val="start" w:pos="70.90pt"/>
        </w:tabs>
        <w:rPr>
          <w:rFonts w:ascii="Times New Roman" w:hAnsi="Times New Roman"/>
          <w:sz w:val="22"/>
          <w:szCs w:val="22"/>
        </w:rPr>
      </w:pP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2694"/>
        <w:gridCol w:w="6654"/>
      </w:tblGrid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 w:rsidRPr="00EF1B8D">
              <w:rPr>
                <w:rFonts w:ascii="Times New Roman" w:hAnsi="Times New Roman"/>
                <w:szCs w:val="22"/>
              </w:rPr>
              <w:t>4992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 w:rsidRPr="00EF1B8D">
              <w:rPr>
                <w:rFonts w:ascii="Times New Roman" w:hAnsi="Times New Roman"/>
                <w:szCs w:val="22"/>
              </w:rPr>
              <w:t>257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EF1B8D">
              <w:rPr>
                <w:rFonts w:ascii="Times New Roman" w:hAnsi="Times New Roman"/>
                <w:szCs w:val="22"/>
              </w:rPr>
              <w:t>333/2015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J. S. L.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D. M. R. C.</w:t>
            </w:r>
          </w:p>
        </w:tc>
      </w:tr>
      <w:tr w:rsidR="007C7F99" w:rsidRPr="00D47AB6" w:rsidTr="007C7F99">
        <w:trPr>
          <w:trHeight w:hRule="exact" w:val="379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467.40pt" w:type="dxa"/>
            <w:gridSpan w:val="2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nil"/>
            </w:tcBorders>
            <w:shd w:val="pct5" w:color="auto" w:fill="auto"/>
            <w:vAlign w:val="center"/>
          </w:tcPr>
          <w:p w:rsidR="0004714C" w:rsidRPr="00D47AB6" w:rsidRDefault="0004714C" w:rsidP="00374E7F">
            <w:pPr>
              <w:tabs>
                <w:tab w:val="start" w:pos="70.90pt"/>
              </w:tabs>
              <w:spacing w:line="13.80pt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374E7F">
              <w:rPr>
                <w:rFonts w:ascii="Times New Roman" w:hAnsi="Times New Roman"/>
                <w:b/>
              </w:rPr>
              <w:t>123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374E7F">
        <w:rPr>
          <w:rFonts w:ascii="Times New Roman" w:hAnsi="Times New Roman"/>
        </w:rPr>
        <w:t>22 de outubro</w:t>
      </w:r>
      <w:r w:rsidR="007C7F99">
        <w:rPr>
          <w:rFonts w:ascii="Times New Roman" w:hAnsi="Times New Roman"/>
        </w:rPr>
        <w:t xml:space="preserve">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</w:t>
      </w:r>
      <w:r w:rsidR="00BF01E1">
        <w:rPr>
          <w:rFonts w:ascii="Times New Roman" w:hAnsi="Times New Roman"/>
        </w:rPr>
        <w:t xml:space="preserve"> (fls. 302/307)</w:t>
      </w:r>
      <w:r w:rsidR="00746AAA">
        <w:rPr>
          <w:rFonts w:ascii="Times New Roman" w:hAnsi="Times New Roman"/>
        </w:rPr>
        <w:t xml:space="preserve">, no qual concluiu que: </w:t>
      </w:r>
    </w:p>
    <w:p w:rsidR="00746AAA" w:rsidRDefault="00746AAA" w:rsidP="00746AAA">
      <w:pPr>
        <w:tabs>
          <w:tab w:val="start" w:pos="70.90pt"/>
        </w:tabs>
        <w:spacing w:after="6pt" w:line="13.80pt" w:lineRule="auto"/>
        <w:ind w:start="113.40pt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 xml:space="preserve">Analisado o conjunto probatório presente nos autos do Processo Ético-Disciplinar SICCAU nº 257.333/2015, julgo procedente a denúncia e voto pela aplicação da sanção de </w:t>
      </w:r>
      <w:r w:rsidRPr="00746AAA">
        <w:rPr>
          <w:rFonts w:ascii="Times New Roman" w:hAnsi="Times New Roman"/>
          <w:b/>
          <w:sz w:val="20"/>
        </w:rPr>
        <w:t>ADVERTÊNCIA PÚBLICA</w:t>
      </w:r>
      <w:r w:rsidRPr="00746AAA">
        <w:rPr>
          <w:rFonts w:ascii="Times New Roman" w:hAnsi="Times New Roman"/>
          <w:sz w:val="20"/>
        </w:rPr>
        <w:t xml:space="preserve"> e </w:t>
      </w:r>
      <w:r w:rsidRPr="00746AAA">
        <w:rPr>
          <w:rFonts w:ascii="Times New Roman" w:hAnsi="Times New Roman"/>
          <w:b/>
          <w:sz w:val="20"/>
        </w:rPr>
        <w:t>MULTA, CORRESPONDENTE AO VALOR DE 01 (UMA) ANUIDADE</w:t>
      </w:r>
      <w:r w:rsidRPr="00746AAA">
        <w:rPr>
          <w:rFonts w:ascii="Times New Roman" w:hAnsi="Times New Roman"/>
          <w:sz w:val="20"/>
        </w:rPr>
        <w:t xml:space="preserve">, uma vez que restou comprovado que </w:t>
      </w:r>
      <w:r w:rsidRPr="00746AAA">
        <w:rPr>
          <w:rFonts w:ascii="Times New Roman" w:hAnsi="Times New Roman"/>
          <w:sz w:val="20"/>
          <w:szCs w:val="23"/>
        </w:rPr>
        <w:t xml:space="preserve">a profissional </w:t>
      </w:r>
      <w:r w:rsidRPr="00746AAA">
        <w:rPr>
          <w:rFonts w:ascii="Times New Roman" w:hAnsi="Times New Roman"/>
          <w:sz w:val="20"/>
        </w:rPr>
        <w:t>praticou as infrações previstas no art. 18, inciso IV, da Lei nº 12.378/2010, e no item nº 3.2.9, do Código de Ética e Disciplina.</w:t>
      </w:r>
    </w:p>
    <w:p w:rsidR="00BF01E1" w:rsidRDefault="00BF01E1" w:rsidP="00374E7F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aprovou o relatório e voto fundamentado por meio da Deliberação CED-CAU/RS nº 053/2019 (fl. 308), de acordo com o </w:t>
      </w:r>
      <w:r w:rsidRPr="00746AAA">
        <w:rPr>
          <w:rFonts w:ascii="Times New Roman" w:hAnsi="Times New Roman"/>
        </w:rPr>
        <w:t>art. 49, § 5°, da Resolução CAU/BR nº 143/2017</w:t>
      </w:r>
      <w:r>
        <w:rPr>
          <w:rFonts w:ascii="Times New Roman" w:hAnsi="Times New Roman"/>
        </w:rPr>
        <w:t>.</w:t>
      </w:r>
    </w:p>
    <w:p w:rsidR="002B741D" w:rsidRDefault="002B741D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na sessão de julgamento realizada no dia 09 de agosto de 2019, o relator solicitou a retirada do processo de pauta, para emissão de parecer jurídico acerca da regularidade processual (fl. 330).</w:t>
      </w:r>
    </w:p>
    <w:p w:rsidR="002B741D" w:rsidRDefault="002B741D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relatório e voto fundamentado apresentado pelo relator, no qual foram inseridas as considerações a respeito da regularidade processual, </w:t>
      </w:r>
      <w:r w:rsidR="008B0B04">
        <w:rPr>
          <w:rFonts w:ascii="Times New Roman" w:hAnsi="Times New Roman"/>
        </w:rPr>
        <w:t>após analisado o Parecer Jurídico nº 006/2019.</w:t>
      </w:r>
    </w:p>
    <w:p w:rsidR="00BF01E1" w:rsidRDefault="00BF01E1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8B6F83" w:rsidP="007C7F99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Reiterar a aprovação</w:t>
      </w:r>
      <w:r w:rsidR="006636F4" w:rsidRPr="007E591A">
        <w:rPr>
          <w:rFonts w:ascii="Times New Roman" w:hAnsi="Times New Roman"/>
        </w:rPr>
        <w:t xml:space="preserve">, por unanimidade, o </w:t>
      </w:r>
      <w:r w:rsidR="00746AAA">
        <w:rPr>
          <w:rFonts w:ascii="Times New Roman" w:hAnsi="Times New Roman"/>
        </w:rPr>
        <w:t xml:space="preserve">relatório e </w:t>
      </w:r>
      <w:r w:rsidR="006636F4"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="006636F4"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="006636F4"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="006636F4" w:rsidRPr="007E591A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 xml:space="preserve"> na forma da segunda versão do documento (fls. 349/353)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start" w:pos="70.90pt"/>
        </w:tabs>
        <w:spacing w:line="13.80pt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start" w:pos="70.90pt"/>
        </w:tabs>
        <w:spacing w:line="13.80pt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8B6F83">
        <w:rPr>
          <w:rFonts w:ascii="Times New Roman" w:hAnsi="Times New Roman"/>
        </w:rPr>
        <w:t>22 de outubro</w:t>
      </w:r>
      <w:r w:rsidR="007C7F99">
        <w:rPr>
          <w:rFonts w:ascii="Times New Roman" w:hAnsi="Times New Roman"/>
        </w:rPr>
        <w:t xml:space="preserve">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489.05pt" w:type="dxa"/>
        <w:tblLook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245.80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3.25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245.80pt" w:type="dxa"/>
            <w:shd w:val="clear" w:color="auto" w:fill="auto"/>
          </w:tcPr>
          <w:p w:rsidR="004811BF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243.25pt" w:type="dxa"/>
            <w:shd w:val="clear" w:color="auto" w:fill="auto"/>
          </w:tcPr>
          <w:p w:rsidR="004811BF" w:rsidRPr="00D47AB6" w:rsidRDefault="004811BF" w:rsidP="004811BF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245.80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243.25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start" w:pos="70.90pt"/>
        </w:tabs>
        <w:spacing w:line="13.80pt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595pt" w:h="842pt"/>
      <w:pgMar w:top="99.25pt" w:right="42.55pt" w:bottom="28.35pt" w:left="85.05pt" w:header="66.35pt" w:footer="29.20pt" w:gutter="0pt"/>
      <w:cols w:space="7.1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56089" w:rsidRPr="00381432" w:rsidRDefault="00A56089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0.70pt" w:end="-10.95pt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0.70pt" w:end="-10.95pt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D4D44" w:rsidRDefault="002D4D44" w:rsidP="002D4D44">
    <w:pPr>
      <w:tabs>
        <w:tab w:val="center" w:pos="216pt"/>
        <w:tab w:val="end" w:pos="432pt"/>
      </w:tabs>
      <w:spacing w:after="6pt" w:line="13.80pt" w:lineRule="auto"/>
      <w:ind w:start="-84.95pt" w:end="-69.40pt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257099</wp:posOffset>
          </wp:positionV>
          <wp:extent cx="327660" cy="225425"/>
          <wp:effectExtent l="0" t="0" r="0" b="0"/>
          <wp:wrapNone/>
          <wp:docPr id="2" name="Caixa de texto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327660" cy="22542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6350">
                    <a:noFill/>
                  </a:ln>
                  <a:effectLst/>
                </wp:spPr>
                <wp:txbx>
                  <wne:txbxContent>
                    <w:p w:rsidR="002D4D44" w:rsidRPr="00190E4D" w:rsidRDefault="002D4D44" w:rsidP="002D4D44">
                      <w:pPr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</w:pPr>
                      <w:r w:rsidRPr="00190E4D"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  <w:t>I1</w:t>
                      </w:r>
                      <w:r w:rsidR="00243E86"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  <w:t>2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216pt"/>
        <w:tab w:val="end" w:pos="432pt"/>
      </w:tabs>
      <w:spacing w:after="6pt" w:line="13.80pt" w:lineRule="auto"/>
      <w:ind w:start="-84.95pt" w:end="-55.20pt" w:firstLine="42.50pt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8B6F83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start="-27.65pt" w:firstLine="7.05pt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56089" w:rsidRPr="009E4E5A" w:rsidRDefault="002D4D44" w:rsidP="008B0962">
    <w:pPr>
      <w:pStyle w:val="Cabealho"/>
      <w:ind w:start="29.35pt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79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85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56089" w:rsidRPr="009E4E5A" w:rsidRDefault="002D4D44" w:rsidP="008B0962">
    <w:pPr>
      <w:pStyle w:val="Cabealho"/>
      <w:ind w:start="29.35p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6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name"/>
  <w:defaultTabStop w:val="36pt"/>
  <w:hyphenationZone w:val="21.25pt"/>
  <w:drawingGridHorizontalSpacing w:val="18pt"/>
  <w:drawingGridVerticalSpacing w:val="18pt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2C56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1733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B741D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74E7F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0B04"/>
    <w:rsid w:val="008B63D5"/>
    <w:rsid w:val="008B6C76"/>
    <w:rsid w:val="008B6F83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01E1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A41C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start="35.40pt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126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glossaryDocument" Target="glossary/document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B8B921E-9593-4751-A46F-1E7BBADAE56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2</Pages>
  <Words>365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2019-10-22T15:03:00Z</dcterms:created>
  <dcterms:modified xsi:type="dcterms:W3CDTF">2019-10-22T15:44:00Z</dcterms:modified>
</cp:coreProperties>
</file>