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40741" w:rsidRDefault="008F3114" w:rsidP="00A7736A">
            <w:pPr>
              <w:rPr>
                <w:rFonts w:ascii="Times New Roman" w:hAnsi="Times New Roman"/>
                <w:sz w:val="22"/>
                <w:szCs w:val="22"/>
              </w:rPr>
            </w:pPr>
            <w:r w:rsidRPr="00C05AFA">
              <w:rPr>
                <w:rFonts w:ascii="Times New Roman" w:hAnsi="Times New Roman"/>
                <w:sz w:val="20"/>
                <w:szCs w:val="20"/>
              </w:rPr>
              <w:t xml:space="preserve">140/2017, 410/2018 e </w:t>
            </w:r>
            <w:r w:rsidRPr="00C05AFA">
              <w:rPr>
                <w:rFonts w:ascii="Times New Roman" w:hAnsi="Times New Roman"/>
                <w:sz w:val="20"/>
                <w:szCs w:val="20"/>
                <w:lang w:eastAsia="pt-BR"/>
              </w:rPr>
              <w:t>562/2017</w:t>
            </w:r>
          </w:p>
        </w:tc>
      </w:tr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40741" w:rsidRDefault="00A7736A" w:rsidP="00A7736A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 xml:space="preserve">Comissão de Planejamento e Finanças do CAU/RS </w:t>
            </w:r>
          </w:p>
        </w:tc>
      </w:tr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F3114" w:rsidRDefault="00840741" w:rsidP="00840741">
            <w:pPr>
              <w:rPr>
                <w:rFonts w:ascii="Times New Roman" w:hAnsi="Times New Roman"/>
                <w:sz w:val="22"/>
                <w:szCs w:val="22"/>
              </w:rPr>
            </w:pPr>
            <w:r w:rsidRPr="008F3114">
              <w:rPr>
                <w:rFonts w:ascii="Times New Roman" w:hAnsi="Times New Roman"/>
                <w:sz w:val="22"/>
                <w:szCs w:val="22"/>
              </w:rPr>
              <w:t xml:space="preserve">Homologa, em sede de reexame necessário, a extinção dos créditos tributários (anuidades) relativos a anuidades dos Processos Administrativos números </w:t>
            </w:r>
            <w:r w:rsidR="008F3114" w:rsidRPr="008F3114">
              <w:rPr>
                <w:rFonts w:ascii="Times New Roman" w:hAnsi="Times New Roman"/>
                <w:sz w:val="22"/>
                <w:szCs w:val="22"/>
              </w:rPr>
              <w:t xml:space="preserve">140/2017, 410/2018 e </w:t>
            </w:r>
            <w:r w:rsidR="008F3114" w:rsidRPr="008F3114">
              <w:rPr>
                <w:rFonts w:ascii="Times New Roman" w:hAnsi="Times New Roman"/>
                <w:sz w:val="22"/>
                <w:szCs w:val="22"/>
                <w:lang w:eastAsia="pt-BR"/>
              </w:rPr>
              <w:t>562/2017</w:t>
            </w:r>
            <w:r w:rsidRPr="008F3114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:rsidR="00124A49" w:rsidRPr="00840741" w:rsidRDefault="00124A49" w:rsidP="00E873B4">
      <w:pPr>
        <w:pBdr>
          <w:top w:val="single" w:sz="8" w:space="5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/RS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8F3114">
        <w:rPr>
          <w:rFonts w:ascii="Times New Roman" w:hAnsi="Times New Roman"/>
          <w:sz w:val="22"/>
          <w:szCs w:val="22"/>
          <w:lang w:eastAsia="pt-BR"/>
        </w:rPr>
        <w:t>986</w:t>
      </w:r>
      <w:r w:rsidRPr="00840741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840741">
        <w:rPr>
          <w:rFonts w:ascii="Times New Roman" w:hAnsi="Times New Roman"/>
          <w:sz w:val="22"/>
          <w:szCs w:val="22"/>
          <w:lang w:eastAsia="pt-BR"/>
        </w:rPr>
        <w:t>2018</w:t>
      </w:r>
    </w:p>
    <w:p w:rsidR="00A7736A" w:rsidRPr="00840741" w:rsidRDefault="00840741" w:rsidP="000D744D">
      <w:pPr>
        <w:ind w:left="4395"/>
        <w:jc w:val="both"/>
        <w:rPr>
          <w:rFonts w:ascii="Times New Roman" w:hAnsi="Times New Roman"/>
          <w:sz w:val="20"/>
          <w:szCs w:val="22"/>
        </w:rPr>
      </w:pPr>
      <w:r w:rsidRPr="00840741">
        <w:rPr>
          <w:rFonts w:ascii="Times New Roman" w:hAnsi="Times New Roman"/>
          <w:sz w:val="20"/>
          <w:szCs w:val="22"/>
        </w:rPr>
        <w:t xml:space="preserve">Homologa, em sede de reexame necessário, a extinção dos créditos tributários (anuidades) relativos a anuidades dos Processos Administrativos números </w:t>
      </w:r>
      <w:r w:rsidR="008F3114" w:rsidRPr="00C05AFA">
        <w:rPr>
          <w:rFonts w:ascii="Times New Roman" w:hAnsi="Times New Roman"/>
          <w:sz w:val="20"/>
          <w:szCs w:val="20"/>
        </w:rPr>
        <w:t xml:space="preserve">140/2017, 410/2018 e </w:t>
      </w:r>
      <w:r w:rsidR="008F3114" w:rsidRPr="00C05AFA">
        <w:rPr>
          <w:rFonts w:ascii="Times New Roman" w:hAnsi="Times New Roman"/>
          <w:sz w:val="20"/>
          <w:szCs w:val="20"/>
          <w:lang w:eastAsia="pt-BR"/>
        </w:rPr>
        <w:t>562/2017</w:t>
      </w:r>
      <w:r w:rsidR="00A7736A" w:rsidRPr="00840741">
        <w:rPr>
          <w:rFonts w:ascii="Times New Roman" w:hAnsi="Times New Roman"/>
          <w:sz w:val="20"/>
          <w:szCs w:val="22"/>
          <w:lang w:eastAsia="pt-BR"/>
        </w:rPr>
        <w:t>.</w:t>
      </w:r>
    </w:p>
    <w:p w:rsidR="00B3603F" w:rsidRPr="00840741" w:rsidRDefault="00B3603F" w:rsidP="00767157">
      <w:pPr>
        <w:ind w:firstLine="1701"/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124A49" w:rsidRPr="00840741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840741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840741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840741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/RS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840741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8F3114">
        <w:rPr>
          <w:rFonts w:ascii="Times New Roman" w:hAnsi="Times New Roman"/>
          <w:sz w:val="22"/>
          <w:szCs w:val="22"/>
          <w:lang w:eastAsia="pt-BR"/>
        </w:rPr>
        <w:t>23 de novembro</w:t>
      </w:r>
      <w:r w:rsidR="00A85845"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840741">
        <w:rPr>
          <w:rFonts w:ascii="Times New Roman" w:hAnsi="Times New Roman"/>
          <w:sz w:val="22"/>
          <w:szCs w:val="22"/>
          <w:lang w:eastAsia="pt-BR"/>
        </w:rPr>
        <w:t>2018</w:t>
      </w:r>
      <w:r w:rsidRPr="00840741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840741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736A" w:rsidRPr="008F3114" w:rsidRDefault="00A7736A" w:rsidP="00A7736A">
      <w:pPr>
        <w:jc w:val="both"/>
        <w:rPr>
          <w:rFonts w:ascii="Times New Roman" w:hAnsi="Times New Roman"/>
          <w:sz w:val="22"/>
          <w:szCs w:val="22"/>
        </w:rPr>
      </w:pPr>
      <w:r w:rsidRPr="008F3114">
        <w:rPr>
          <w:rFonts w:ascii="Times New Roman" w:hAnsi="Times New Roman"/>
          <w:sz w:val="22"/>
          <w:szCs w:val="22"/>
          <w:lang w:eastAsia="pt-BR"/>
        </w:rPr>
        <w:t xml:space="preserve">Considerando a ausência de interposição de recurso ao Plenário do CAU/RS quanto ao teor das deliberações da Comissão de Planejamento e Finanças do CAU/RS – CPFI-CAU/RS, que decidiu pela extinção </w:t>
      </w:r>
      <w:r w:rsidR="008F3114" w:rsidRPr="008F3114">
        <w:rPr>
          <w:rFonts w:ascii="Times New Roman" w:hAnsi="Times New Roman"/>
          <w:sz w:val="22"/>
          <w:szCs w:val="22"/>
          <w:lang w:eastAsia="pt-BR"/>
        </w:rPr>
        <w:t xml:space="preserve">total </w:t>
      </w:r>
      <w:r w:rsidRPr="008F3114">
        <w:rPr>
          <w:rFonts w:ascii="Times New Roman" w:hAnsi="Times New Roman"/>
          <w:sz w:val="22"/>
          <w:szCs w:val="22"/>
          <w:lang w:eastAsia="pt-BR"/>
        </w:rPr>
        <w:t xml:space="preserve">dos créditos tributários </w:t>
      </w:r>
      <w:r w:rsidRPr="008F3114">
        <w:rPr>
          <w:rFonts w:ascii="Times New Roman" w:hAnsi="Times New Roman"/>
          <w:sz w:val="22"/>
          <w:szCs w:val="22"/>
        </w:rPr>
        <w:t xml:space="preserve">relativos as anuidades referentes aos processos administrativos números </w:t>
      </w:r>
      <w:r w:rsidR="008F3114" w:rsidRPr="008F3114">
        <w:rPr>
          <w:rFonts w:ascii="Times New Roman" w:hAnsi="Times New Roman"/>
          <w:sz w:val="22"/>
          <w:szCs w:val="22"/>
        </w:rPr>
        <w:t xml:space="preserve">140/2017, 410/2018 e </w:t>
      </w:r>
      <w:r w:rsidR="008F3114" w:rsidRPr="008F3114">
        <w:rPr>
          <w:rFonts w:ascii="Times New Roman" w:hAnsi="Times New Roman"/>
          <w:sz w:val="22"/>
          <w:szCs w:val="22"/>
          <w:lang w:eastAsia="pt-BR"/>
        </w:rPr>
        <w:t>562/2017</w:t>
      </w:r>
      <w:r w:rsidRPr="008F3114">
        <w:rPr>
          <w:rFonts w:ascii="Times New Roman" w:hAnsi="Times New Roman"/>
          <w:sz w:val="22"/>
          <w:szCs w:val="22"/>
        </w:rPr>
        <w:t>;</w:t>
      </w: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Cs/>
          <w:sz w:val="22"/>
          <w:szCs w:val="22"/>
          <w:lang w:eastAsia="pt-BR"/>
        </w:rPr>
        <w:t>Considerando a natureza das anuidades, como sendo créditos tributários devidos à Fazenda Pública, cuja decisão acerca de sua extinção requer o reexame necessário em segunda instância administrativa;</w:t>
      </w: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Cs/>
          <w:sz w:val="22"/>
          <w:szCs w:val="22"/>
          <w:lang w:eastAsia="pt-BR"/>
        </w:rPr>
        <w:t xml:space="preserve">Considerando os conjuntos fático-probatórios presentes nos autos dos processos em epígrafe, os relatórios e votos elaborados pelos Conselheiros relatores integrantes da Comissão de Planejamento e Finanças deste Conselho, todos disponíveis para análise </w:t>
      </w:r>
      <w:r w:rsidR="00840741" w:rsidRPr="00840741">
        <w:rPr>
          <w:rFonts w:ascii="Times New Roman" w:hAnsi="Times New Roman"/>
          <w:bCs/>
          <w:sz w:val="22"/>
          <w:szCs w:val="22"/>
          <w:lang w:eastAsia="pt-BR"/>
        </w:rPr>
        <w:t>dos conselheiros</w:t>
      </w:r>
      <w:r w:rsidRPr="00840741">
        <w:rPr>
          <w:rFonts w:ascii="Times New Roman" w:hAnsi="Times New Roman"/>
          <w:bCs/>
          <w:sz w:val="22"/>
          <w:szCs w:val="22"/>
          <w:lang w:eastAsia="pt-BR"/>
        </w:rPr>
        <w:t>, para o reexame necessário dos processos administrativos de cobrança de anuidades em epígrafe.</w:t>
      </w:r>
    </w:p>
    <w:p w:rsidR="00A7736A" w:rsidRPr="00840741" w:rsidRDefault="00A7736A" w:rsidP="00A7736A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ab/>
      </w:r>
    </w:p>
    <w:p w:rsidR="00A7736A" w:rsidRPr="00840741" w:rsidRDefault="00A7736A" w:rsidP="00A7736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</w:rPr>
        <w:t>DELIBEROU:</w:t>
      </w:r>
    </w:p>
    <w:p w:rsidR="00A7736A" w:rsidRPr="00840741" w:rsidRDefault="00A7736A" w:rsidP="008F3114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Homologar</w:t>
      </w:r>
      <w:r w:rsidRPr="00840741">
        <w:rPr>
          <w:rFonts w:ascii="Times New Roman" w:hAnsi="Times New Roman"/>
          <w:sz w:val="22"/>
          <w:szCs w:val="22"/>
        </w:rPr>
        <w:t xml:space="preserve">, em reexame necessário, a extinção dos créditos tributários (anuidades) relativos aos Processos Administrativos números </w:t>
      </w:r>
      <w:r w:rsidR="008F3114" w:rsidRPr="008F3114">
        <w:rPr>
          <w:rFonts w:ascii="Times New Roman" w:hAnsi="Times New Roman"/>
          <w:sz w:val="22"/>
          <w:szCs w:val="22"/>
        </w:rPr>
        <w:t>140/2017, 410/2018 e 562/2017</w:t>
      </w:r>
      <w:r w:rsidRPr="00840741">
        <w:rPr>
          <w:rFonts w:ascii="Times New Roman" w:hAnsi="Times New Roman"/>
          <w:sz w:val="22"/>
          <w:szCs w:val="22"/>
        </w:rPr>
        <w:t>;</w:t>
      </w:r>
    </w:p>
    <w:p w:rsidR="00A7736A" w:rsidRPr="00840741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40741">
        <w:rPr>
          <w:rFonts w:ascii="Times New Roman" w:hAnsi="Times New Roman"/>
          <w:sz w:val="22"/>
          <w:szCs w:val="22"/>
        </w:rPr>
        <w:t xml:space="preserve"> à Gerência Financeira para:</w:t>
      </w:r>
    </w:p>
    <w:p w:rsidR="00A7736A" w:rsidRPr="00840741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>Cancelar os valores das respectivas anuidades cobradas, e;</w:t>
      </w:r>
    </w:p>
    <w:p w:rsidR="00A7736A" w:rsidRPr="00840741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>Notificar as partes interessadas do teor dessa decisão.</w:t>
      </w:r>
    </w:p>
    <w:p w:rsidR="00A7736A" w:rsidRPr="00840741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40741">
        <w:rPr>
          <w:rFonts w:ascii="Times New Roman" w:hAnsi="Times New Roman"/>
          <w:sz w:val="22"/>
          <w:szCs w:val="22"/>
        </w:rPr>
        <w:t xml:space="preserve"> à Gerência de Atendimento e Fiscalização para que proceda às respectivas interrupções/baixas de ofício, a fim de adequar os registros de acordo com os termos dessa deliberação e das respectivas deliberações da Comissão de Planejamento e Finanças.</w:t>
      </w:r>
    </w:p>
    <w:p w:rsidR="000D744D" w:rsidRPr="00840741" w:rsidRDefault="000D744D" w:rsidP="000D744D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71B12" w:rsidRPr="00840741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840741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0D744D" w:rsidRPr="00840741" w:rsidRDefault="000D744D" w:rsidP="000D744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46851" w:rsidRPr="00445301" w:rsidRDefault="00E46851" w:rsidP="00E4685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05CA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12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Pr="002550A0">
        <w:rPr>
          <w:rFonts w:ascii="Times New Roman" w:hAnsi="Times New Roman"/>
          <w:sz w:val="22"/>
          <w:szCs w:val="22"/>
          <w:lang w:eastAsia="pt-BR"/>
        </w:rPr>
        <w:t>Claudio Fischer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2550A0">
        <w:rPr>
          <w:rFonts w:ascii="Times New Roman" w:hAnsi="Times New Roman"/>
          <w:sz w:val="22"/>
          <w:szCs w:val="22"/>
          <w:lang w:eastAsia="pt-BR"/>
        </w:rPr>
        <w:t>Clóvis Ilgenfritz da Silva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2550A0">
        <w:rPr>
          <w:rFonts w:ascii="Times New Roman" w:hAnsi="Times New Roman"/>
          <w:sz w:val="22"/>
          <w:szCs w:val="22"/>
          <w:lang w:eastAsia="pt-BR"/>
        </w:rPr>
        <w:t>Helenice Macedo do Couto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2550A0">
        <w:rPr>
          <w:rFonts w:ascii="Times New Roman" w:hAnsi="Times New Roman"/>
          <w:sz w:val="22"/>
          <w:szCs w:val="22"/>
          <w:lang w:eastAsia="pt-BR"/>
        </w:rPr>
        <w:t>Antônio Cesar Cassol da Rocha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2550A0">
        <w:rPr>
          <w:rFonts w:ascii="Times New Roman" w:hAnsi="Times New Roman"/>
          <w:sz w:val="22"/>
          <w:szCs w:val="22"/>
          <w:lang w:eastAsia="pt-BR"/>
        </w:rPr>
        <w:t>Manoel Joaquim Tostes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2550A0">
        <w:rPr>
          <w:rFonts w:ascii="Times New Roman" w:hAnsi="Times New Roman"/>
          <w:sz w:val="22"/>
          <w:szCs w:val="22"/>
          <w:lang w:eastAsia="pt-BR"/>
        </w:rPr>
        <w:t>Matias Revello Vazquez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2550A0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2550A0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2550A0">
        <w:rPr>
          <w:rFonts w:ascii="Times New Roman" w:hAnsi="Times New Roman"/>
          <w:sz w:val="22"/>
          <w:szCs w:val="22"/>
          <w:lang w:eastAsia="pt-BR"/>
        </w:rPr>
        <w:t>Priscila Terra Quesada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2550A0">
        <w:rPr>
          <w:rFonts w:ascii="Times New Roman" w:hAnsi="Times New Roman"/>
          <w:sz w:val="22"/>
          <w:szCs w:val="22"/>
          <w:lang w:eastAsia="pt-BR"/>
        </w:rPr>
        <w:t>Roberto Luiz Decó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2550A0">
        <w:rPr>
          <w:rFonts w:ascii="Times New Roman" w:hAnsi="Times New Roman"/>
          <w:sz w:val="22"/>
          <w:szCs w:val="22"/>
          <w:lang w:eastAsia="pt-BR"/>
        </w:rPr>
        <w:t>Maurício Zuchetti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2550A0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hAnsi="Times New Roman"/>
          <w:b/>
          <w:sz w:val="22"/>
          <w:szCs w:val="22"/>
          <w:lang w:eastAsia="pt-BR"/>
        </w:rPr>
        <w:t>06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b/>
          <w:sz w:val="22"/>
          <w:szCs w:val="22"/>
          <w:lang w:eastAsia="pt-BR"/>
        </w:rPr>
        <w:t>seis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>) ausências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Pr="008F63B8">
        <w:rPr>
          <w:rFonts w:ascii="Times New Roman" w:hAnsi="Times New Roman"/>
          <w:sz w:val="22"/>
          <w:szCs w:val="22"/>
          <w:lang w:eastAsia="pt-BR"/>
        </w:rPr>
        <w:t>Alvino Jara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8F63B8">
        <w:rPr>
          <w:rFonts w:ascii="Times New Roman" w:hAnsi="Times New Roman"/>
          <w:sz w:val="22"/>
          <w:szCs w:val="22"/>
          <w:lang w:eastAsia="pt-BR"/>
        </w:rPr>
        <w:t>Roberta Krahe Edelweiss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8F63B8">
        <w:rPr>
          <w:rFonts w:ascii="Times New Roman" w:hAnsi="Times New Roman"/>
          <w:sz w:val="22"/>
          <w:szCs w:val="22"/>
          <w:lang w:eastAsia="pt-BR"/>
        </w:rPr>
        <w:t>Paulo Ricardo Bregatto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8F63B8">
        <w:rPr>
          <w:rFonts w:ascii="Times New Roman" w:hAnsi="Times New Roman"/>
          <w:sz w:val="22"/>
          <w:szCs w:val="22"/>
          <w:lang w:eastAsia="pt-BR"/>
        </w:rPr>
        <w:t>Raquel Rhoden Bresolin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8F63B8">
        <w:rPr>
          <w:rFonts w:ascii="Times New Roman" w:hAnsi="Times New Roman"/>
          <w:sz w:val="22"/>
          <w:szCs w:val="22"/>
          <w:lang w:eastAsia="pt-BR"/>
        </w:rPr>
        <w:t>Rômulo Plentz Giralt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8F63B8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Pr="009605CA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Pr="00840741" w:rsidRDefault="00BF1FEF" w:rsidP="003F0B5D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 xml:space="preserve">Porto Alegre – RS, </w:t>
      </w:r>
      <w:r w:rsidR="008F3114">
        <w:rPr>
          <w:rFonts w:ascii="Times New Roman" w:hAnsi="Times New Roman"/>
          <w:sz w:val="22"/>
          <w:szCs w:val="22"/>
        </w:rPr>
        <w:t>23</w:t>
      </w:r>
      <w:r w:rsidR="00EC23EA" w:rsidRPr="00840741">
        <w:rPr>
          <w:rFonts w:ascii="Times New Roman" w:hAnsi="Times New Roman"/>
          <w:sz w:val="22"/>
          <w:szCs w:val="22"/>
        </w:rPr>
        <w:t xml:space="preserve"> </w:t>
      </w:r>
      <w:r w:rsidRPr="00840741">
        <w:rPr>
          <w:rFonts w:ascii="Times New Roman" w:hAnsi="Times New Roman"/>
          <w:sz w:val="22"/>
          <w:szCs w:val="22"/>
        </w:rPr>
        <w:t xml:space="preserve">de </w:t>
      </w:r>
      <w:r w:rsidR="008F3114">
        <w:rPr>
          <w:rFonts w:ascii="Times New Roman" w:hAnsi="Times New Roman"/>
          <w:sz w:val="22"/>
          <w:szCs w:val="22"/>
        </w:rPr>
        <w:t xml:space="preserve">novembro </w:t>
      </w:r>
      <w:r w:rsidRPr="00840741">
        <w:rPr>
          <w:rFonts w:ascii="Times New Roman" w:hAnsi="Times New Roman"/>
          <w:sz w:val="22"/>
          <w:szCs w:val="22"/>
        </w:rPr>
        <w:t>de 2018.</w:t>
      </w:r>
    </w:p>
    <w:p w:rsidR="0019498C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46851" w:rsidRDefault="00E46851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:rsidR="0019498C" w:rsidRPr="00840741" w:rsidRDefault="008F5D81" w:rsidP="0019498C">
      <w:pPr>
        <w:tabs>
          <w:tab w:val="left" w:pos="864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40741">
        <w:rPr>
          <w:rFonts w:ascii="Times New Roman" w:hAnsi="Times New Roman"/>
          <w:b/>
          <w:bCs/>
          <w:sz w:val="22"/>
          <w:szCs w:val="22"/>
        </w:rPr>
        <w:t xml:space="preserve">TIAGO HOLZMANN DA SILVA </w:t>
      </w:r>
    </w:p>
    <w:p w:rsidR="0019498C" w:rsidRPr="00840741" w:rsidRDefault="00E46851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840741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A85845" w:rsidRPr="00840741" w:rsidRDefault="00A85845" w:rsidP="00840741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0"/>
          <w:szCs w:val="20"/>
          <w:lang w:eastAsia="pt-BR"/>
        </w:rPr>
        <w:br w:type="page"/>
      </w:r>
      <w:r w:rsidR="00264E96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91</w:t>
      </w: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A85845" w:rsidRPr="00840741" w:rsidRDefault="00A85845" w:rsidP="00A85845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A85845" w:rsidRPr="00840741" w:rsidRDefault="00A85845" w:rsidP="00A85845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85845" w:rsidRPr="00840741" w:rsidTr="005D404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85845" w:rsidRPr="00840741" w:rsidTr="005D404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114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3114" w:rsidRPr="00D73832" w:rsidRDefault="008F3114" w:rsidP="008F311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8F3114" w:rsidP="008F311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3114" w:rsidRPr="00D73832" w:rsidRDefault="00264E96" w:rsidP="00264E9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BF1FEF" w:rsidRPr="00840741" w:rsidRDefault="00BF1FEF" w:rsidP="00BF1FEF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84074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8F3114"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8F3114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A7736A" w:rsidRPr="00840741" w:rsidRDefault="00A7736A" w:rsidP="00A858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>Matéria em votação: DPO</w:t>
            </w:r>
            <w:r w:rsidR="00B3603F" w:rsidRPr="00840741">
              <w:rPr>
                <w:rFonts w:ascii="Times New Roman" w:hAnsi="Times New Roman"/>
                <w:b/>
                <w:sz w:val="20"/>
                <w:szCs w:val="20"/>
              </w:rPr>
              <w:t>-RS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F3114">
              <w:rPr>
                <w:rFonts w:ascii="Times New Roman" w:hAnsi="Times New Roman"/>
                <w:b/>
                <w:sz w:val="20"/>
                <w:szCs w:val="20"/>
              </w:rPr>
              <w:t>986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840741" w:rsidRPr="00840741">
              <w:rPr>
                <w:rFonts w:ascii="Times New Roman" w:hAnsi="Times New Roman"/>
                <w:sz w:val="20"/>
                <w:szCs w:val="20"/>
              </w:rPr>
              <w:t xml:space="preserve">Homologa, em sede de reexame necessário, a extinção dos créditos tributários (anuidades) relativos a anuidades dos Processos Administrativos números </w:t>
            </w:r>
            <w:r w:rsidR="008F3114" w:rsidRPr="008F3114">
              <w:rPr>
                <w:rFonts w:ascii="Times New Roman" w:hAnsi="Times New Roman"/>
                <w:sz w:val="20"/>
                <w:szCs w:val="20"/>
              </w:rPr>
              <w:t>140/2017, 410/2018 e 562/2017</w:t>
            </w:r>
            <w:r w:rsidR="00840741" w:rsidRPr="008407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736A" w:rsidRPr="00840741" w:rsidRDefault="00A7736A" w:rsidP="00A7736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A7736A" w:rsidRPr="00840741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264E9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="003A6F13">
              <w:rPr>
                <w:rFonts w:ascii="Times New Roman" w:hAnsi="Times New Roman"/>
                <w:sz w:val="20"/>
                <w:szCs w:val="20"/>
              </w:rPr>
              <w:t>(</w:t>
            </w:r>
            <w:r w:rsidR="00264E96">
              <w:rPr>
                <w:rFonts w:ascii="Times New Roman" w:hAnsi="Times New Roman"/>
                <w:sz w:val="20"/>
                <w:szCs w:val="20"/>
              </w:rPr>
              <w:t>12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E873B4" w:rsidRPr="00840741">
              <w:rPr>
                <w:rFonts w:ascii="Times New Roman" w:hAnsi="Times New Roman"/>
                <w:sz w:val="20"/>
                <w:szCs w:val="20"/>
              </w:rPr>
              <w:t>00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7E6531">
              <w:rPr>
                <w:rFonts w:ascii="Times New Roman" w:hAnsi="Times New Roman"/>
                <w:sz w:val="20"/>
                <w:szCs w:val="20"/>
              </w:rPr>
              <w:t>01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264E96">
              <w:rPr>
                <w:rFonts w:ascii="Times New Roman" w:hAnsi="Times New Roman"/>
                <w:sz w:val="20"/>
                <w:szCs w:val="20"/>
              </w:rPr>
              <w:t>06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A7736A" w:rsidRPr="00840741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407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BF1FEF" w:rsidRPr="00840741" w:rsidRDefault="00BF1FEF" w:rsidP="00BF1FEF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D213CD" w:rsidRPr="00840741" w:rsidRDefault="00D213CD" w:rsidP="00BF1FEF">
      <w:pPr>
        <w:jc w:val="both"/>
        <w:rPr>
          <w:rFonts w:ascii="Times New Roman" w:hAnsi="Times New Roman"/>
          <w:sz w:val="20"/>
          <w:szCs w:val="20"/>
        </w:rPr>
      </w:pPr>
    </w:p>
    <w:sectPr w:rsidR="00D213CD" w:rsidRPr="00840741" w:rsidSect="00840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5" w:left="1701" w:header="1418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BD" w:rsidRDefault="00CB7EBD" w:rsidP="004C3048">
      <w:r>
        <w:separator/>
      </w:r>
    </w:p>
  </w:endnote>
  <w:endnote w:type="continuationSeparator" w:id="0">
    <w:p w:rsidR="00CB7EBD" w:rsidRDefault="00CB7E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2401410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4685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430400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4685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BD" w:rsidRDefault="00CB7EBD" w:rsidP="004C3048">
      <w:r>
        <w:separator/>
      </w:r>
    </w:p>
  </w:footnote>
  <w:footnote w:type="continuationSeparator" w:id="0">
    <w:p w:rsidR="00CB7EBD" w:rsidRDefault="00CB7E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-907262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-897389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1A7B"/>
    <w:rsid w:val="00062599"/>
    <w:rsid w:val="00065201"/>
    <w:rsid w:val="00067264"/>
    <w:rsid w:val="00094D18"/>
    <w:rsid w:val="000C0827"/>
    <w:rsid w:val="000C1A24"/>
    <w:rsid w:val="000C1CFB"/>
    <w:rsid w:val="000C3500"/>
    <w:rsid w:val="000D3E3E"/>
    <w:rsid w:val="000D4C5E"/>
    <w:rsid w:val="000D5BC9"/>
    <w:rsid w:val="000D744D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517E3"/>
    <w:rsid w:val="00170CA0"/>
    <w:rsid w:val="00174A5A"/>
    <w:rsid w:val="001778C5"/>
    <w:rsid w:val="00180FB9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5277E"/>
    <w:rsid w:val="0025716D"/>
    <w:rsid w:val="00264E96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0769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A6F13"/>
    <w:rsid w:val="003B4E9A"/>
    <w:rsid w:val="003B7D60"/>
    <w:rsid w:val="003C3C3A"/>
    <w:rsid w:val="003C484E"/>
    <w:rsid w:val="003E69DA"/>
    <w:rsid w:val="003F0B5D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2456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0AA9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89"/>
    <w:rsid w:val="0069229F"/>
    <w:rsid w:val="00695335"/>
    <w:rsid w:val="006B670F"/>
    <w:rsid w:val="006C14F3"/>
    <w:rsid w:val="006C75E7"/>
    <w:rsid w:val="006D0AB4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7E6531"/>
    <w:rsid w:val="00805FC1"/>
    <w:rsid w:val="00811AC3"/>
    <w:rsid w:val="0081283D"/>
    <w:rsid w:val="00835E1C"/>
    <w:rsid w:val="00840741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C684E"/>
    <w:rsid w:val="008D4752"/>
    <w:rsid w:val="008E1728"/>
    <w:rsid w:val="008F159C"/>
    <w:rsid w:val="008F3114"/>
    <w:rsid w:val="008F5D81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A3B85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7736A"/>
    <w:rsid w:val="00A80C65"/>
    <w:rsid w:val="00A83107"/>
    <w:rsid w:val="00A85845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603F"/>
    <w:rsid w:val="00B37B9F"/>
    <w:rsid w:val="00B6066A"/>
    <w:rsid w:val="00B63C2E"/>
    <w:rsid w:val="00B71B12"/>
    <w:rsid w:val="00B73A02"/>
    <w:rsid w:val="00B81197"/>
    <w:rsid w:val="00BA026F"/>
    <w:rsid w:val="00BB5E13"/>
    <w:rsid w:val="00BB7EDB"/>
    <w:rsid w:val="00BC1D8A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B7EBD"/>
    <w:rsid w:val="00CC5EB2"/>
    <w:rsid w:val="00CD0E69"/>
    <w:rsid w:val="00CE47B1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802D9"/>
    <w:rsid w:val="00D8349F"/>
    <w:rsid w:val="00D8757D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165D0"/>
    <w:rsid w:val="00E22ADE"/>
    <w:rsid w:val="00E22AF6"/>
    <w:rsid w:val="00E31CC4"/>
    <w:rsid w:val="00E3663E"/>
    <w:rsid w:val="00E408E2"/>
    <w:rsid w:val="00E46851"/>
    <w:rsid w:val="00E47A74"/>
    <w:rsid w:val="00E56097"/>
    <w:rsid w:val="00E662FF"/>
    <w:rsid w:val="00E663BC"/>
    <w:rsid w:val="00E85BAB"/>
    <w:rsid w:val="00E873B4"/>
    <w:rsid w:val="00E87EAC"/>
    <w:rsid w:val="00E9324D"/>
    <w:rsid w:val="00EA14BC"/>
    <w:rsid w:val="00EA4281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83D20"/>
    <w:rsid w:val="00FA1A43"/>
    <w:rsid w:val="00FB0D35"/>
    <w:rsid w:val="00FB372F"/>
    <w:rsid w:val="00FB6C18"/>
    <w:rsid w:val="00FB7FE4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18495F"/>
    <w:rsid w:val="00B57B6F"/>
    <w:rsid w:val="00B6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6514E-C549-40DA-826D-1B2917E4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642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33</cp:revision>
  <cp:lastPrinted>2018-03-29T19:04:00Z</cp:lastPrinted>
  <dcterms:created xsi:type="dcterms:W3CDTF">2018-06-27T13:53:00Z</dcterms:created>
  <dcterms:modified xsi:type="dcterms:W3CDTF">2018-11-27T15:55:00Z</dcterms:modified>
</cp:coreProperties>
</file>