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outlineLvl w:val="4"/>
              <w:rPr>
                <w:rFonts w:ascii="Times New Roman" w:hAnsi="Times New Roman"/>
                <w:sz w:val="22"/>
                <w:szCs w:val="22"/>
                <w:lang w:eastAsia="pt-BR"/>
              </w:rPr>
            </w:pPr>
            <w:r w:rsidRPr="00901719">
              <w:rPr>
                <w:rFonts w:ascii="Times New Roman" w:hAnsi="Times New Roman"/>
                <w:sz w:val="22"/>
                <w:szCs w:val="22"/>
                <w:lang w:eastAsia="pt-BR"/>
              </w:rPr>
              <w:br w:type="page"/>
              <w:t>PROCESSO</w:t>
            </w:r>
            <w:r w:rsidR="00F456DB" w:rsidRPr="00901719">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FD4628" w:rsidP="00037508">
            <w:pPr>
              <w:tabs>
                <w:tab w:val="left" w:pos="426"/>
                <w:tab w:val="left" w:pos="567"/>
                <w:tab w:val="left" w:pos="993"/>
              </w:tabs>
              <w:jc w:val="both"/>
              <w:rPr>
                <w:rFonts w:ascii="Times New Roman" w:hAnsi="Times New Roman"/>
                <w:sz w:val="22"/>
                <w:szCs w:val="22"/>
              </w:rPr>
            </w:pPr>
          </w:p>
        </w:tc>
      </w:tr>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outlineLvl w:val="4"/>
              <w:rPr>
                <w:rFonts w:ascii="Times New Roman" w:hAnsi="Times New Roman"/>
                <w:sz w:val="22"/>
                <w:szCs w:val="22"/>
                <w:lang w:eastAsia="pt-BR"/>
              </w:rPr>
            </w:pPr>
            <w:r w:rsidRPr="0090171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3F26B5" w:rsidP="00901719">
            <w:pPr>
              <w:widowControl w:val="0"/>
              <w:rPr>
                <w:rFonts w:ascii="Times New Roman" w:hAnsi="Times New Roman"/>
                <w:bCs/>
                <w:sz w:val="22"/>
                <w:szCs w:val="22"/>
                <w:lang w:eastAsia="pt-BR"/>
              </w:rPr>
            </w:pPr>
            <w:r w:rsidRPr="00901719">
              <w:rPr>
                <w:rFonts w:ascii="Times New Roman" w:hAnsi="Times New Roman"/>
                <w:bCs/>
                <w:sz w:val="22"/>
                <w:szCs w:val="22"/>
                <w:lang w:eastAsia="pt-BR"/>
              </w:rPr>
              <w:t xml:space="preserve">Comissão de </w:t>
            </w:r>
            <w:r w:rsidR="00901719">
              <w:rPr>
                <w:rFonts w:ascii="Times New Roman" w:hAnsi="Times New Roman"/>
                <w:bCs/>
                <w:sz w:val="22"/>
                <w:szCs w:val="22"/>
                <w:lang w:eastAsia="pt-BR"/>
              </w:rPr>
              <w:t xml:space="preserve">Exercício Profissional </w:t>
            </w:r>
            <w:r w:rsidR="00FD4628" w:rsidRPr="00901719">
              <w:rPr>
                <w:rFonts w:ascii="Times New Roman" w:hAnsi="Times New Roman"/>
                <w:bCs/>
                <w:sz w:val="22"/>
                <w:szCs w:val="22"/>
                <w:lang w:eastAsia="pt-BR"/>
              </w:rPr>
              <w:t xml:space="preserve">do CAU/RS </w:t>
            </w:r>
          </w:p>
        </w:tc>
      </w:tr>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rPr>
                <w:rFonts w:ascii="Times New Roman" w:hAnsi="Times New Roman"/>
                <w:sz w:val="22"/>
                <w:szCs w:val="22"/>
                <w:lang w:eastAsia="pt-BR"/>
              </w:rPr>
            </w:pPr>
            <w:r w:rsidRPr="0090171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901719" w:rsidP="00C14B3E">
            <w:pPr>
              <w:widowControl w:val="0"/>
              <w:rPr>
                <w:rFonts w:ascii="Times New Roman" w:hAnsi="Times New Roman"/>
                <w:bCs/>
                <w:sz w:val="22"/>
                <w:szCs w:val="22"/>
                <w:lang w:eastAsia="pt-BR"/>
              </w:rPr>
            </w:pPr>
            <w:r>
              <w:rPr>
                <w:rFonts w:ascii="Times New Roman" w:hAnsi="Times New Roman"/>
                <w:sz w:val="22"/>
                <w:szCs w:val="22"/>
              </w:rPr>
              <w:t>Homologa o procedimento de baixa de ofício quando detectada a situação de extinção ou baixa no CNPJ conforme consulta à Receita Federal</w:t>
            </w:r>
            <w:r w:rsidR="00C40326" w:rsidRPr="00901719">
              <w:rPr>
                <w:rFonts w:ascii="Times New Roman" w:hAnsi="Times New Roman"/>
                <w:sz w:val="22"/>
                <w:szCs w:val="22"/>
              </w:rPr>
              <w:t>.</w:t>
            </w:r>
          </w:p>
        </w:tc>
      </w:tr>
    </w:tbl>
    <w:p w:rsidR="00124A49" w:rsidRPr="00901719"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901719">
        <w:rPr>
          <w:rFonts w:ascii="Times New Roman" w:hAnsi="Times New Roman"/>
          <w:sz w:val="22"/>
          <w:szCs w:val="22"/>
          <w:lang w:eastAsia="pt-BR"/>
        </w:rPr>
        <w:t>DELIBERAÇÃO PLENÁRIA DPO</w:t>
      </w:r>
      <w:r w:rsidR="00E56097" w:rsidRPr="00901719">
        <w:rPr>
          <w:rFonts w:ascii="Times New Roman" w:hAnsi="Times New Roman"/>
          <w:sz w:val="22"/>
          <w:szCs w:val="22"/>
          <w:lang w:eastAsia="pt-BR"/>
        </w:rPr>
        <w:t>/RS</w:t>
      </w:r>
      <w:r w:rsidRPr="00901719">
        <w:rPr>
          <w:rFonts w:ascii="Times New Roman" w:hAnsi="Times New Roman"/>
          <w:sz w:val="22"/>
          <w:szCs w:val="22"/>
          <w:lang w:eastAsia="pt-BR"/>
        </w:rPr>
        <w:t xml:space="preserve"> Nº </w:t>
      </w:r>
      <w:r w:rsidR="004E1567" w:rsidRPr="00901719">
        <w:rPr>
          <w:rFonts w:ascii="Times New Roman" w:hAnsi="Times New Roman"/>
          <w:sz w:val="22"/>
          <w:szCs w:val="22"/>
          <w:lang w:eastAsia="pt-BR"/>
        </w:rPr>
        <w:t>96</w:t>
      </w:r>
      <w:r w:rsidR="00693E73">
        <w:rPr>
          <w:rFonts w:ascii="Times New Roman" w:hAnsi="Times New Roman"/>
          <w:sz w:val="22"/>
          <w:szCs w:val="22"/>
          <w:lang w:eastAsia="pt-BR"/>
        </w:rPr>
        <w:t>5</w:t>
      </w:r>
      <w:r w:rsidRPr="00901719">
        <w:rPr>
          <w:rFonts w:ascii="Times New Roman" w:hAnsi="Times New Roman"/>
          <w:sz w:val="22"/>
          <w:szCs w:val="22"/>
          <w:lang w:eastAsia="pt-BR"/>
        </w:rPr>
        <w:t>/</w:t>
      </w:r>
      <w:r w:rsidR="00FD4628" w:rsidRPr="00901719">
        <w:rPr>
          <w:rFonts w:ascii="Times New Roman" w:hAnsi="Times New Roman"/>
          <w:sz w:val="22"/>
          <w:szCs w:val="22"/>
          <w:lang w:eastAsia="pt-BR"/>
        </w:rPr>
        <w:t>2018</w:t>
      </w:r>
    </w:p>
    <w:p w:rsidR="00124A49" w:rsidRPr="003C1340" w:rsidRDefault="00124A49" w:rsidP="00124A49">
      <w:pPr>
        <w:ind w:left="5103"/>
        <w:jc w:val="both"/>
        <w:rPr>
          <w:rFonts w:ascii="Times New Roman" w:hAnsi="Times New Roman"/>
          <w:sz w:val="20"/>
          <w:szCs w:val="22"/>
        </w:rPr>
      </w:pPr>
    </w:p>
    <w:p w:rsidR="00124A49" w:rsidRPr="00901719" w:rsidRDefault="00124A49" w:rsidP="00124A49">
      <w:pPr>
        <w:ind w:firstLine="1701"/>
        <w:jc w:val="both"/>
        <w:rPr>
          <w:rFonts w:ascii="Times New Roman" w:hAnsi="Times New Roman"/>
          <w:sz w:val="22"/>
          <w:szCs w:val="22"/>
          <w:lang w:eastAsia="pt-BR"/>
        </w:rPr>
      </w:pPr>
    </w:p>
    <w:p w:rsidR="00124A49" w:rsidRPr="00901719" w:rsidRDefault="0050455C" w:rsidP="00124A49">
      <w:pPr>
        <w:jc w:val="both"/>
        <w:rPr>
          <w:rFonts w:ascii="Times New Roman" w:hAnsi="Times New Roman"/>
          <w:sz w:val="22"/>
          <w:szCs w:val="22"/>
          <w:lang w:eastAsia="pt-BR"/>
        </w:rPr>
      </w:pPr>
      <w:r w:rsidRPr="00901719">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354743">
        <w:rPr>
          <w:rFonts w:ascii="Times New Roman" w:hAnsi="Times New Roman"/>
          <w:sz w:val="22"/>
          <w:szCs w:val="22"/>
        </w:rPr>
        <w:t xml:space="preserve">28 de setembro </w:t>
      </w:r>
      <w:r w:rsidRPr="00901719">
        <w:rPr>
          <w:rFonts w:ascii="Times New Roman" w:hAnsi="Times New Roman"/>
          <w:sz w:val="22"/>
          <w:szCs w:val="22"/>
        </w:rPr>
        <w:t xml:space="preserve">de 2018, </w:t>
      </w:r>
      <w:r w:rsidRPr="00901719">
        <w:rPr>
          <w:rFonts w:ascii="Times New Roman" w:hAnsi="Times New Roman"/>
          <w:sz w:val="22"/>
          <w:szCs w:val="22"/>
          <w:lang w:eastAsia="pt-BR"/>
        </w:rPr>
        <w:t>após análise do assunto em epígrafe, e</w:t>
      </w:r>
      <w:r w:rsidRPr="00901719">
        <w:rPr>
          <w:rFonts w:ascii="Times New Roman" w:hAnsi="Times New Roman"/>
          <w:sz w:val="22"/>
          <w:szCs w:val="22"/>
        </w:rPr>
        <w:t>;</w:t>
      </w:r>
    </w:p>
    <w:p w:rsidR="00124A49" w:rsidRPr="00901719" w:rsidRDefault="00124A49" w:rsidP="00124A49">
      <w:pPr>
        <w:jc w:val="both"/>
        <w:rPr>
          <w:rFonts w:ascii="Times New Roman" w:hAnsi="Times New Roman"/>
          <w:sz w:val="22"/>
          <w:szCs w:val="22"/>
          <w:highlight w:val="yellow"/>
          <w:lang w:eastAsia="pt-BR"/>
        </w:rPr>
      </w:pPr>
    </w:p>
    <w:p w:rsidR="00901719" w:rsidRPr="00901719" w:rsidRDefault="00901719" w:rsidP="00901719">
      <w:pPr>
        <w:tabs>
          <w:tab w:val="left" w:pos="1418"/>
        </w:tabs>
        <w:jc w:val="both"/>
        <w:rPr>
          <w:rFonts w:ascii="Times New Roman" w:hAnsi="Times New Roman"/>
          <w:sz w:val="22"/>
          <w:szCs w:val="22"/>
        </w:rPr>
      </w:pPr>
      <w:r w:rsidRPr="00901719">
        <w:rPr>
          <w:rFonts w:ascii="Times New Roman" w:hAnsi="Times New Roman"/>
          <w:sz w:val="22"/>
          <w:szCs w:val="22"/>
        </w:rPr>
        <w:t>Considerando o disposto no art. 28, da Resolução CAU/BR nº 028/2012:</w:t>
      </w:r>
    </w:p>
    <w:p w:rsidR="00901719" w:rsidRPr="00901719" w:rsidRDefault="00901719" w:rsidP="00901719">
      <w:pPr>
        <w:tabs>
          <w:tab w:val="left" w:pos="1418"/>
        </w:tabs>
        <w:jc w:val="both"/>
        <w:rPr>
          <w:rFonts w:ascii="Times New Roman" w:hAnsi="Times New Roman"/>
          <w:sz w:val="22"/>
          <w:szCs w:val="22"/>
        </w:rPr>
      </w:pPr>
    </w:p>
    <w:p w:rsidR="00901719" w:rsidRPr="00693E73" w:rsidRDefault="00901719" w:rsidP="00901719">
      <w:pPr>
        <w:tabs>
          <w:tab w:val="left" w:pos="1418"/>
        </w:tabs>
        <w:ind w:left="2160"/>
        <w:jc w:val="both"/>
        <w:rPr>
          <w:rFonts w:ascii="Times New Roman" w:hAnsi="Times New Roman"/>
          <w:i/>
          <w:sz w:val="20"/>
          <w:szCs w:val="22"/>
        </w:rPr>
      </w:pPr>
      <w:r w:rsidRPr="00693E73">
        <w:rPr>
          <w:rFonts w:ascii="Times New Roman" w:hAnsi="Times New Roman"/>
          <w:i/>
          <w:sz w:val="20"/>
          <w:szCs w:val="22"/>
        </w:rPr>
        <w:t>“Art. 28. Será efetuada a baixa de ofício de registro de pessoa jurídica caso esta tenha sido condenada em processo, cuja penalidade seja o cancelamento do registro no CAU.</w:t>
      </w:r>
    </w:p>
    <w:p w:rsidR="00901719" w:rsidRPr="00693E73" w:rsidRDefault="00901719" w:rsidP="00901719">
      <w:pPr>
        <w:tabs>
          <w:tab w:val="left" w:pos="1418"/>
        </w:tabs>
        <w:ind w:left="2160"/>
        <w:jc w:val="both"/>
        <w:rPr>
          <w:rFonts w:ascii="Times New Roman" w:hAnsi="Times New Roman"/>
          <w:i/>
          <w:sz w:val="20"/>
          <w:szCs w:val="22"/>
        </w:rPr>
      </w:pPr>
      <w:r w:rsidRPr="00693E73">
        <w:rPr>
          <w:rFonts w:ascii="Times New Roman" w:hAnsi="Times New Roman"/>
          <w:i/>
          <w:sz w:val="20"/>
          <w:szCs w:val="22"/>
        </w:rPr>
        <w:t xml:space="preserve">Parágrafo único. Será também admitida a baixa de ofício nos casos em que a pessoa jurídica deixe de preencher as condições para a manutenção desse registro, devendo o CAU/UF promover a prévia notificação, com prazo de 30 (trinta) dias, em que seja assegurada a ampla </w:t>
      </w:r>
      <w:proofErr w:type="gramStart"/>
      <w:r w:rsidRPr="00693E73">
        <w:rPr>
          <w:rFonts w:ascii="Times New Roman" w:hAnsi="Times New Roman"/>
          <w:i/>
          <w:sz w:val="20"/>
          <w:szCs w:val="22"/>
        </w:rPr>
        <w:t>defesa.”</w:t>
      </w:r>
      <w:proofErr w:type="gramEnd"/>
    </w:p>
    <w:p w:rsidR="00901719" w:rsidRPr="00693E73" w:rsidRDefault="00901719" w:rsidP="00901719">
      <w:pPr>
        <w:tabs>
          <w:tab w:val="left" w:pos="1418"/>
        </w:tabs>
        <w:ind w:left="1440"/>
        <w:jc w:val="both"/>
        <w:rPr>
          <w:rFonts w:ascii="Times New Roman" w:hAnsi="Times New Roman"/>
          <w:sz w:val="20"/>
          <w:szCs w:val="22"/>
        </w:rPr>
      </w:pPr>
    </w:p>
    <w:p w:rsidR="00901719" w:rsidRPr="00901719" w:rsidRDefault="00901719" w:rsidP="00901719">
      <w:pPr>
        <w:tabs>
          <w:tab w:val="left" w:pos="1418"/>
        </w:tabs>
        <w:jc w:val="both"/>
        <w:rPr>
          <w:rFonts w:ascii="Times New Roman" w:hAnsi="Times New Roman"/>
          <w:sz w:val="22"/>
          <w:szCs w:val="22"/>
        </w:rPr>
      </w:pPr>
      <w:r w:rsidRPr="00901719">
        <w:rPr>
          <w:rFonts w:ascii="Times New Roman" w:hAnsi="Times New Roman"/>
          <w:sz w:val="22"/>
          <w:szCs w:val="22"/>
        </w:rPr>
        <w:t xml:space="preserve">Considerando que a </w:t>
      </w:r>
      <w:bookmarkStart w:id="0" w:name="OLE_LINK1"/>
      <w:bookmarkStart w:id="1" w:name="OLE_LINK2"/>
      <w:bookmarkStart w:id="2" w:name="OLE_LINK3"/>
      <w:r w:rsidRPr="00901719">
        <w:rPr>
          <w:rFonts w:ascii="Times New Roman" w:hAnsi="Times New Roman"/>
          <w:sz w:val="22"/>
          <w:szCs w:val="22"/>
        </w:rPr>
        <w:t>CPFI-CAU/BR</w:t>
      </w:r>
      <w:bookmarkEnd w:id="0"/>
      <w:bookmarkEnd w:id="1"/>
      <w:bookmarkEnd w:id="2"/>
      <w:r w:rsidRPr="00901719">
        <w:rPr>
          <w:rFonts w:ascii="Times New Roman" w:hAnsi="Times New Roman"/>
          <w:sz w:val="22"/>
          <w:szCs w:val="22"/>
        </w:rPr>
        <w:t>, por meio da Deliberação nº 055/2017, definiu que “</w:t>
      </w:r>
      <w:r w:rsidRPr="00901719">
        <w:rPr>
          <w:rFonts w:ascii="Times New Roman" w:hAnsi="Times New Roman"/>
          <w:i/>
          <w:sz w:val="22"/>
          <w:szCs w:val="22"/>
        </w:rPr>
        <w:t>para a baixa de ofício de pessoas jurídicas que tenham encerrado as atividades junto à Receita Federal, a data de encerramento no histórico de registro deverá ser a data de encerramento junto à Receita</w:t>
      </w:r>
      <w:r w:rsidRPr="00901719">
        <w:rPr>
          <w:rFonts w:ascii="Times New Roman" w:hAnsi="Times New Roman"/>
          <w:sz w:val="22"/>
          <w:szCs w:val="22"/>
        </w:rPr>
        <w:t>”;</w:t>
      </w:r>
    </w:p>
    <w:p w:rsidR="00901719" w:rsidRPr="00901719" w:rsidRDefault="00901719" w:rsidP="00901719">
      <w:pPr>
        <w:tabs>
          <w:tab w:val="left" w:pos="1418"/>
        </w:tabs>
        <w:jc w:val="both"/>
        <w:rPr>
          <w:rFonts w:ascii="Times New Roman" w:hAnsi="Times New Roman"/>
          <w:sz w:val="22"/>
          <w:szCs w:val="22"/>
        </w:rPr>
      </w:pPr>
    </w:p>
    <w:p w:rsidR="00901719" w:rsidRPr="00901719" w:rsidRDefault="00901719" w:rsidP="00901719">
      <w:pPr>
        <w:tabs>
          <w:tab w:val="left" w:pos="1418"/>
        </w:tabs>
        <w:jc w:val="both"/>
        <w:rPr>
          <w:rFonts w:ascii="Times New Roman" w:hAnsi="Times New Roman"/>
          <w:sz w:val="22"/>
          <w:szCs w:val="22"/>
        </w:rPr>
      </w:pPr>
      <w:r w:rsidRPr="00901719">
        <w:rPr>
          <w:rFonts w:ascii="Times New Roman" w:hAnsi="Times New Roman"/>
          <w:sz w:val="22"/>
          <w:szCs w:val="22"/>
        </w:rPr>
        <w:t>Considerando que o Tribunal Regional Federal da 4ª Região tem entendido como inexistente o fato gerador das anuidades quando comprovada a inatividade da pessoa jurídica no período da cobrança, conforme julgados recentes que abaixo se colacionam:</w:t>
      </w:r>
    </w:p>
    <w:p w:rsidR="00901719" w:rsidRPr="00693E73" w:rsidRDefault="00901719" w:rsidP="00901719">
      <w:pPr>
        <w:tabs>
          <w:tab w:val="left" w:pos="1418"/>
        </w:tabs>
        <w:jc w:val="both"/>
        <w:rPr>
          <w:rFonts w:ascii="Times New Roman" w:hAnsi="Times New Roman"/>
          <w:sz w:val="20"/>
          <w:szCs w:val="22"/>
        </w:rPr>
      </w:pPr>
    </w:p>
    <w:p w:rsidR="00901719" w:rsidRPr="00693E73" w:rsidRDefault="00901719" w:rsidP="00901719">
      <w:pPr>
        <w:tabs>
          <w:tab w:val="left" w:pos="1418"/>
        </w:tabs>
        <w:ind w:left="2160"/>
        <w:jc w:val="both"/>
        <w:rPr>
          <w:rFonts w:ascii="Times New Roman" w:hAnsi="Times New Roman"/>
          <w:sz w:val="20"/>
          <w:szCs w:val="22"/>
        </w:rPr>
      </w:pPr>
      <w:r w:rsidRPr="00693E73">
        <w:rPr>
          <w:rFonts w:ascii="Times New Roman" w:hAnsi="Times New Roman"/>
          <w:i/>
          <w:sz w:val="20"/>
          <w:szCs w:val="22"/>
        </w:rPr>
        <w:t xml:space="preserve">“TRIBUTÁRIO E PROCESSUAL CIVIL. EXECUÇÃO FISCAL. CONSELHO PROFISSIONAL. INATIVIDADE DA EMPRESA NO PERÍODO EM COBRANÇA. INEXISTÊNCIA DE FATO GERADOR. ÓBICE DO ART. 8º DA LEI 12.514/2011. INOCORRÊNCIA. 1. O fato gerador da obrigação tributária, no caso de pessoas jurídicas, é a prestação de determinada atividade e que, por sua vez, gera igualmente o dever de inscrever-se em Conselho Profissional. Assim, ainda que haja a inscrição em conselho, não havendo prestação de atividade, não há falar em pagamento de anuidade. 2. A Lei nº 12.514/2011, no seu artigo 8º, criou uma condição para a propositura de execução fiscal com finalidade de cobrar anuidades dos inscritos nos Conselhos. E tendo natureza processual aplica-se ao feito de forma imediata e impondo a extinção da execução fiscal que visa a cobrança de dívidas referentes a anuidades inferiores a 4 (quatro) vezes o valor cobrado anualmente da pessoa física ou jurídica. Diante do que preconiza a Lei há que se verificar se o caso dos autos satisfaz a condição de procedibilidade para a propositura da ação. O valor da causa deve ser mensurado conforme o valor da anuidade de cada Conselho de Classe, à época do ajuizamento, observando-se o escalonamento para cada atividade regulamentada (pessoa física ou pessoa jurídica). 3. No aspecto da procedibilidade da ação, deve-se atentar para que o limite mínimo não é de quatro anuidades (de quatro exercícios), mas, sim, o equivalente a quatro vezes o valor cobrado anualmente, ou seja, o valor da anuidade do exercício (do ajuizamento) multiplicado por quatro incluindo-se o valor das anuidades, somado aos juros, correção monetária e multas. 4. Hipótese em que, não se aplica ao caso dos autos o óbice disposto no art. 8º da Lei 12.514, de 2011, indicativo de impossibilidade jurídica do </w:t>
      </w:r>
      <w:proofErr w:type="gramStart"/>
      <w:r w:rsidRPr="00693E73">
        <w:rPr>
          <w:rFonts w:ascii="Times New Roman" w:hAnsi="Times New Roman"/>
          <w:i/>
          <w:sz w:val="20"/>
          <w:szCs w:val="22"/>
        </w:rPr>
        <w:t>pedido.”</w:t>
      </w:r>
      <w:proofErr w:type="gramEnd"/>
      <w:r w:rsidRPr="00693E73">
        <w:rPr>
          <w:rFonts w:ascii="Times New Roman" w:hAnsi="Times New Roman"/>
          <w:sz w:val="20"/>
          <w:szCs w:val="22"/>
        </w:rPr>
        <w:t xml:space="preserve"> (TRF4, AG 5005633-59.2017.404.0000, SEGUNDA TURMA, Relatora LUCIANE AMARAL CORRÊA MÜNCH, juntado aos autos em 28/06/2017)</w:t>
      </w:r>
    </w:p>
    <w:p w:rsidR="00901719" w:rsidRPr="00693E73" w:rsidRDefault="00901719" w:rsidP="00901719">
      <w:pPr>
        <w:tabs>
          <w:tab w:val="left" w:pos="1418"/>
        </w:tabs>
        <w:ind w:left="2160"/>
        <w:jc w:val="both"/>
        <w:rPr>
          <w:rFonts w:ascii="Times New Roman" w:hAnsi="Times New Roman"/>
          <w:sz w:val="20"/>
          <w:szCs w:val="22"/>
        </w:rPr>
      </w:pPr>
    </w:p>
    <w:p w:rsidR="00901719" w:rsidRPr="00693E73" w:rsidRDefault="00901719" w:rsidP="00901719">
      <w:pPr>
        <w:tabs>
          <w:tab w:val="left" w:pos="1418"/>
        </w:tabs>
        <w:ind w:left="2160"/>
        <w:jc w:val="both"/>
        <w:rPr>
          <w:rFonts w:ascii="Times New Roman" w:hAnsi="Times New Roman"/>
          <w:sz w:val="20"/>
          <w:szCs w:val="22"/>
        </w:rPr>
      </w:pPr>
      <w:r w:rsidRPr="00693E73">
        <w:rPr>
          <w:rFonts w:ascii="Times New Roman" w:hAnsi="Times New Roman"/>
          <w:i/>
          <w:sz w:val="20"/>
          <w:szCs w:val="22"/>
        </w:rPr>
        <w:lastRenderedPageBreak/>
        <w:t xml:space="preserve">“TRIBUTÁRIO. EXCEÇÃO DE PRÉ-EXECUTIVIDADE. COBRANÇA DE ANUIDADES. PESSOA FÍSICA E JURÍDICA. FATO GERADOR. ATIVIDADE BÁSICA. INATIVIDADE. MENOS DE QUATRO ANUIDADES. LEI 12.514/2011. AJG. 1. O exercício de profissão legalmente regulamentada exige, além da habilitação legal, que o profissional esteja inscrito no respectivo Conselho Regional com jurisdição sobre a área onde ocorre o exercício. O vínculo ao órgão e o pagamento de anuidades, portanto, derivam da legislação que impõe a inscrição no conselho como requisito para o exercício da profissão, tanto como profissional liberal ou empregado, quanto como servidor público, nos casos previstos pela lei. Assim, estando inscrito no conselho, </w:t>
      </w:r>
      <w:proofErr w:type="gramStart"/>
      <w:r w:rsidRPr="00693E73">
        <w:rPr>
          <w:rFonts w:ascii="Times New Roman" w:hAnsi="Times New Roman"/>
          <w:i/>
          <w:sz w:val="20"/>
          <w:szCs w:val="22"/>
        </w:rPr>
        <w:t>o profissional pessoa física</w:t>
      </w:r>
      <w:proofErr w:type="gramEnd"/>
      <w:r w:rsidRPr="00693E73">
        <w:rPr>
          <w:rFonts w:ascii="Times New Roman" w:hAnsi="Times New Roman"/>
          <w:i/>
          <w:sz w:val="20"/>
          <w:szCs w:val="22"/>
        </w:rPr>
        <w:t xml:space="preserve"> deve pagar a anuidade, mesmo que não exerça efetivamente a atividade. 2. Em relação às pessoas jurídicas, porém, o regramento legal é diverso. Com efeito, o registro nas entidades fiscalizadoras do exercício de profissões não é requisito para o exercício da atividade empresarial. O art. 1º da Lei nº 6.839/80 estabelece a atividade básica desenvolvida ou o serviço prestado a terceiros como critério definidor da obrigatoriedade de registro das empresas nas entidades competentes para a fiscalização. Sobressai a conclusão, por conseguinte, que o fato gerador das anuidades, quanto às pessoas jurídicas, é definido pela atividade básica ou pela natureza dos serviços prestados pela empresa. Também não é devida a anuidade por empresa inativa, já que, obviamente, não mais há o exercício da atividade básica que enseja o registro no conselho. 3. Hipótese em que demonstrada a inatividade da empresa/encerramento das atividades desde 23/04/2013 (evento 27; DECL6 e CNPJ7 (certidão de baixa de inscrição no CNPJ). Assim, demonstrada a inatividade da empresa executada em relação parte da anuidade de 2013 e 2014. 4. Quanto ao marco inicial de aplicabilidade da Lei 12.514/2011, o STJ, no julgamento do </w:t>
      </w:r>
      <w:proofErr w:type="spellStart"/>
      <w:r w:rsidRPr="00693E73">
        <w:rPr>
          <w:rFonts w:ascii="Times New Roman" w:hAnsi="Times New Roman"/>
          <w:i/>
          <w:sz w:val="20"/>
          <w:szCs w:val="22"/>
        </w:rPr>
        <w:t>REsp</w:t>
      </w:r>
      <w:proofErr w:type="spellEnd"/>
      <w:r w:rsidRPr="00693E73">
        <w:rPr>
          <w:rFonts w:ascii="Times New Roman" w:hAnsi="Times New Roman"/>
          <w:i/>
          <w:sz w:val="20"/>
          <w:szCs w:val="22"/>
        </w:rPr>
        <w:t xml:space="preserve"> nº 1.404.796, acórdão submetido ao regime do art. 543-C do CPC, pacificou o entendimento de que é inaplicável o art. 8º da Lei nº 12.514/11 às execuções propostas antes de sua entrada em vigor. A considerar a data do ajuizamento, já em 2016, e o fato de ter permanecido remanescente </w:t>
      </w:r>
      <w:proofErr w:type="gramStart"/>
      <w:r w:rsidRPr="00693E73">
        <w:rPr>
          <w:rFonts w:ascii="Times New Roman" w:hAnsi="Times New Roman"/>
          <w:i/>
          <w:sz w:val="20"/>
          <w:szCs w:val="22"/>
        </w:rPr>
        <w:t>apenas três anuidade</w:t>
      </w:r>
      <w:proofErr w:type="gramEnd"/>
      <w:r w:rsidRPr="00693E73">
        <w:rPr>
          <w:rFonts w:ascii="Times New Roman" w:hAnsi="Times New Roman"/>
          <w:i/>
          <w:sz w:val="20"/>
          <w:szCs w:val="22"/>
        </w:rPr>
        <w:t xml:space="preserve"> das em execução, é plenamente cabível a aplicação do art. 8º da Lei nº 12.514/2011. 5. Correta, portanto, a sentença ao concluir pela extinção da execução fiscal das anuidades remanescentes de 2011, 2012 e parte de 2013, porque inferior ao valor 4 de anuidades, conforme art. 8º, da Lei 12.514/2011. 6. A AJG deve ser concedida à parte pessoa física que perceba renda mensal líquida de até 10 (dez) salários mínimos. Precedentes desta Corte. Hipótese demonstrada no caso concreto. Deferida também a AJG em relação à pessoa jurídica, uma vez que as demandadas não possuem bens ou lastro econômico, tendo sido vendida a empresa, dado baixa e atualmente, a pessoa física exerce atividade laborativa, conforme CTPS, recebendo apenas R$ 700,00 (setecentos reais) por </w:t>
      </w:r>
      <w:proofErr w:type="gramStart"/>
      <w:r w:rsidRPr="00693E73">
        <w:rPr>
          <w:rFonts w:ascii="Times New Roman" w:hAnsi="Times New Roman"/>
          <w:i/>
          <w:sz w:val="20"/>
          <w:szCs w:val="22"/>
        </w:rPr>
        <w:t>mês.”</w:t>
      </w:r>
      <w:proofErr w:type="gramEnd"/>
      <w:r w:rsidRPr="00693E73">
        <w:rPr>
          <w:rFonts w:ascii="Times New Roman" w:hAnsi="Times New Roman"/>
          <w:sz w:val="20"/>
          <w:szCs w:val="22"/>
        </w:rPr>
        <w:t xml:space="preserve"> (TRF4, AC 5065812-67.2015.404.7100, PRIMEIRA TURMA, Relator JORGE ANTONIO MAURIQUE, juntado aos autos em 23/06/2017).</w:t>
      </w:r>
    </w:p>
    <w:p w:rsidR="00124A49" w:rsidRPr="00901719" w:rsidRDefault="00F46AB6" w:rsidP="00901719">
      <w:pPr>
        <w:jc w:val="both"/>
        <w:rPr>
          <w:rFonts w:ascii="Times New Roman" w:hAnsi="Times New Roman"/>
          <w:sz w:val="22"/>
          <w:szCs w:val="22"/>
          <w:lang w:eastAsia="pt-BR"/>
        </w:rPr>
      </w:pPr>
      <w:r w:rsidRPr="00901719">
        <w:rPr>
          <w:rFonts w:ascii="Times New Roman" w:hAnsi="Times New Roman"/>
          <w:sz w:val="22"/>
          <w:szCs w:val="22"/>
          <w:lang w:eastAsia="pt-BR"/>
        </w:rPr>
        <w:tab/>
      </w:r>
    </w:p>
    <w:p w:rsidR="00C0664D" w:rsidRPr="00901719" w:rsidRDefault="00C0664D" w:rsidP="00C0664D">
      <w:pPr>
        <w:tabs>
          <w:tab w:val="left" w:pos="1418"/>
        </w:tabs>
        <w:jc w:val="both"/>
        <w:rPr>
          <w:rFonts w:ascii="Times New Roman" w:hAnsi="Times New Roman"/>
          <w:b/>
          <w:sz w:val="22"/>
          <w:szCs w:val="22"/>
        </w:rPr>
      </w:pPr>
      <w:r w:rsidRPr="00901719">
        <w:rPr>
          <w:rFonts w:ascii="Times New Roman" w:hAnsi="Times New Roman"/>
          <w:b/>
          <w:sz w:val="22"/>
          <w:szCs w:val="22"/>
        </w:rPr>
        <w:t>DELIBEROU</w:t>
      </w:r>
      <w:r w:rsidR="00901719" w:rsidRPr="00901719">
        <w:rPr>
          <w:rFonts w:ascii="Times New Roman" w:hAnsi="Times New Roman"/>
          <w:b/>
          <w:sz w:val="22"/>
          <w:szCs w:val="22"/>
        </w:rPr>
        <w:t xml:space="preserve"> por</w:t>
      </w:r>
      <w:r w:rsidRPr="00901719">
        <w:rPr>
          <w:rFonts w:ascii="Times New Roman" w:hAnsi="Times New Roman"/>
          <w:b/>
          <w:sz w:val="22"/>
          <w:szCs w:val="22"/>
        </w:rPr>
        <w:t>:</w:t>
      </w:r>
    </w:p>
    <w:p w:rsidR="00C0664D" w:rsidRPr="00901719" w:rsidRDefault="00C0664D" w:rsidP="00C0664D">
      <w:pPr>
        <w:tabs>
          <w:tab w:val="left" w:pos="142"/>
        </w:tabs>
        <w:jc w:val="both"/>
        <w:rPr>
          <w:rFonts w:ascii="Times New Roman" w:hAnsi="Times New Roman"/>
          <w:b/>
          <w:sz w:val="22"/>
          <w:szCs w:val="22"/>
          <w:u w:val="single"/>
        </w:rPr>
      </w:pPr>
    </w:p>
    <w:p w:rsidR="00901719" w:rsidRPr="00901719" w:rsidRDefault="00901719" w:rsidP="00901719">
      <w:pPr>
        <w:pStyle w:val="Default"/>
        <w:numPr>
          <w:ilvl w:val="0"/>
          <w:numId w:val="10"/>
        </w:numPr>
        <w:jc w:val="both"/>
        <w:rPr>
          <w:rFonts w:ascii="Times New Roman" w:hAnsi="Times New Roman" w:cs="Times New Roman"/>
          <w:color w:val="auto"/>
          <w:sz w:val="22"/>
          <w:szCs w:val="22"/>
        </w:rPr>
      </w:pPr>
      <w:r w:rsidRPr="00901719">
        <w:rPr>
          <w:rFonts w:ascii="Times New Roman" w:hAnsi="Times New Roman" w:cs="Times New Roman"/>
          <w:color w:val="auto"/>
          <w:sz w:val="22"/>
          <w:szCs w:val="22"/>
        </w:rPr>
        <w:t xml:space="preserve">Determinar que a realização de procedimento de baixa de ofício quando detectada a situação de extinção ou baixa no CNPJ conforme consulta à Receita Federal, obedecendo a todos os trâmites pertinentes, dentre eles a baixa </w:t>
      </w:r>
      <w:bookmarkStart w:id="3" w:name="OLE_LINK6"/>
      <w:bookmarkStart w:id="4" w:name="OLE_LINK7"/>
      <w:bookmarkStart w:id="5" w:name="OLE_LINK8"/>
      <w:r w:rsidRPr="00901719">
        <w:rPr>
          <w:rFonts w:ascii="Times New Roman" w:hAnsi="Times New Roman" w:cs="Times New Roman"/>
          <w:color w:val="auto"/>
          <w:sz w:val="22"/>
          <w:szCs w:val="22"/>
        </w:rPr>
        <w:t xml:space="preserve">de responsáveis técnicos anotados e de </w:t>
      </w:r>
      <w:proofErr w:type="spellStart"/>
      <w:r w:rsidRPr="00901719">
        <w:rPr>
          <w:rFonts w:ascii="Times New Roman" w:hAnsi="Times New Roman" w:cs="Times New Roman"/>
          <w:color w:val="auto"/>
          <w:sz w:val="22"/>
          <w:szCs w:val="22"/>
        </w:rPr>
        <w:t>RRTs</w:t>
      </w:r>
      <w:proofErr w:type="spellEnd"/>
      <w:r w:rsidRPr="00901719">
        <w:rPr>
          <w:rFonts w:ascii="Times New Roman" w:hAnsi="Times New Roman" w:cs="Times New Roman"/>
          <w:color w:val="auto"/>
          <w:sz w:val="22"/>
          <w:szCs w:val="22"/>
        </w:rPr>
        <w:t xml:space="preserve"> em aberto</w:t>
      </w:r>
      <w:bookmarkEnd w:id="3"/>
      <w:bookmarkEnd w:id="4"/>
      <w:bookmarkEnd w:id="5"/>
      <w:r w:rsidRPr="00901719">
        <w:rPr>
          <w:rFonts w:ascii="Times New Roman" w:hAnsi="Times New Roman" w:cs="Times New Roman"/>
          <w:color w:val="auto"/>
          <w:sz w:val="22"/>
          <w:szCs w:val="22"/>
        </w:rPr>
        <w:t xml:space="preserve"> com a pessoa jurídica contratada, se for o caso;</w:t>
      </w:r>
    </w:p>
    <w:p w:rsidR="00901719" w:rsidRPr="00901719" w:rsidRDefault="00901719" w:rsidP="00901719">
      <w:pPr>
        <w:pStyle w:val="Default"/>
        <w:jc w:val="both"/>
        <w:rPr>
          <w:rFonts w:ascii="Times New Roman" w:hAnsi="Times New Roman" w:cs="Times New Roman"/>
          <w:color w:val="auto"/>
          <w:sz w:val="22"/>
          <w:szCs w:val="22"/>
        </w:rPr>
      </w:pPr>
    </w:p>
    <w:p w:rsidR="00901719" w:rsidRPr="00901719" w:rsidRDefault="00901719" w:rsidP="00901719">
      <w:pPr>
        <w:pStyle w:val="Default"/>
        <w:numPr>
          <w:ilvl w:val="0"/>
          <w:numId w:val="10"/>
        </w:numPr>
        <w:jc w:val="both"/>
        <w:rPr>
          <w:rFonts w:ascii="Times New Roman" w:hAnsi="Times New Roman" w:cs="Times New Roman"/>
          <w:color w:val="auto"/>
          <w:sz w:val="22"/>
          <w:szCs w:val="22"/>
        </w:rPr>
      </w:pPr>
      <w:r w:rsidRPr="00901719">
        <w:rPr>
          <w:rFonts w:ascii="Times New Roman" w:hAnsi="Times New Roman" w:cs="Times New Roman"/>
          <w:color w:val="auto"/>
          <w:sz w:val="22"/>
          <w:szCs w:val="22"/>
        </w:rPr>
        <w:t>Determinar, em consonância com a</w:t>
      </w:r>
      <w:r w:rsidRPr="00901719">
        <w:rPr>
          <w:rFonts w:ascii="Times New Roman" w:hAnsi="Times New Roman"/>
          <w:sz w:val="22"/>
          <w:szCs w:val="22"/>
        </w:rPr>
        <w:t xml:space="preserve"> Deliberação nº 055/2017 – CPFI-CAU/BR, que a data de encerramento do registro ativo deverá ser a data da situação cadastral junto à Receita Federal, bem como a data fim da anotação de</w:t>
      </w:r>
      <w:r w:rsidRPr="00901719">
        <w:rPr>
          <w:rFonts w:ascii="Times New Roman" w:hAnsi="Times New Roman" w:cs="Times New Roman"/>
          <w:color w:val="auto"/>
          <w:sz w:val="22"/>
          <w:szCs w:val="22"/>
        </w:rPr>
        <w:t xml:space="preserve"> responsáveis técnicos e de término de </w:t>
      </w:r>
      <w:proofErr w:type="spellStart"/>
      <w:r w:rsidRPr="00901719">
        <w:rPr>
          <w:rFonts w:ascii="Times New Roman" w:hAnsi="Times New Roman" w:cs="Times New Roman"/>
          <w:color w:val="auto"/>
          <w:sz w:val="22"/>
          <w:szCs w:val="22"/>
        </w:rPr>
        <w:t>RRTs</w:t>
      </w:r>
      <w:proofErr w:type="spellEnd"/>
      <w:r w:rsidRPr="00901719">
        <w:rPr>
          <w:rFonts w:ascii="Times New Roman" w:hAnsi="Times New Roman" w:cs="Times New Roman"/>
          <w:color w:val="auto"/>
          <w:sz w:val="22"/>
          <w:szCs w:val="22"/>
        </w:rPr>
        <w:t xml:space="preserve"> em aberto vinculado à pessoa jurídica como empresa contrata, se for o caso</w:t>
      </w:r>
      <w:r w:rsidRPr="00901719">
        <w:rPr>
          <w:rFonts w:ascii="Times New Roman" w:hAnsi="Times New Roman"/>
          <w:sz w:val="22"/>
          <w:szCs w:val="22"/>
        </w:rPr>
        <w:t>;</w:t>
      </w:r>
    </w:p>
    <w:p w:rsidR="00901719" w:rsidRPr="00901719" w:rsidRDefault="00901719" w:rsidP="00901719">
      <w:pPr>
        <w:pStyle w:val="PargrafodaLista"/>
        <w:rPr>
          <w:rFonts w:ascii="Times New Roman" w:hAnsi="Times New Roman"/>
          <w:sz w:val="22"/>
          <w:szCs w:val="22"/>
        </w:rPr>
      </w:pPr>
    </w:p>
    <w:p w:rsidR="00901719" w:rsidRPr="00901719" w:rsidRDefault="00901719" w:rsidP="00901719">
      <w:pPr>
        <w:pStyle w:val="Default"/>
        <w:numPr>
          <w:ilvl w:val="0"/>
          <w:numId w:val="10"/>
        </w:numPr>
        <w:jc w:val="both"/>
        <w:rPr>
          <w:rFonts w:ascii="Times New Roman" w:hAnsi="Times New Roman" w:cs="Times New Roman"/>
          <w:color w:val="auto"/>
          <w:sz w:val="22"/>
          <w:szCs w:val="22"/>
        </w:rPr>
      </w:pPr>
      <w:r w:rsidRPr="00901719">
        <w:rPr>
          <w:rFonts w:ascii="Times New Roman" w:hAnsi="Times New Roman" w:cs="Times New Roman"/>
          <w:color w:val="auto"/>
          <w:sz w:val="22"/>
          <w:szCs w:val="22"/>
        </w:rPr>
        <w:t>Estender as determinações do item 2 para o procedimento de baixa de registro mediante requerimento da pessoa jurídica em data posterior à situação de extinção ou baixa junto à Receita Federal;</w:t>
      </w:r>
    </w:p>
    <w:p w:rsidR="00901719" w:rsidRPr="00901719" w:rsidRDefault="00901719" w:rsidP="00901719">
      <w:pPr>
        <w:pStyle w:val="PargrafodaLista"/>
        <w:rPr>
          <w:rFonts w:ascii="Times New Roman" w:hAnsi="Times New Roman"/>
          <w:sz w:val="22"/>
          <w:szCs w:val="22"/>
        </w:rPr>
      </w:pPr>
    </w:p>
    <w:p w:rsidR="00901719" w:rsidRPr="00901719" w:rsidRDefault="00901719" w:rsidP="00901719">
      <w:pPr>
        <w:pStyle w:val="Default"/>
        <w:numPr>
          <w:ilvl w:val="0"/>
          <w:numId w:val="10"/>
        </w:numPr>
        <w:jc w:val="both"/>
        <w:rPr>
          <w:rFonts w:ascii="Times New Roman" w:hAnsi="Times New Roman" w:cs="Times New Roman"/>
          <w:color w:val="auto"/>
          <w:sz w:val="22"/>
          <w:szCs w:val="22"/>
        </w:rPr>
      </w:pPr>
      <w:r w:rsidRPr="00901719">
        <w:rPr>
          <w:rFonts w:ascii="Times New Roman" w:hAnsi="Times New Roman" w:cs="Times New Roman"/>
          <w:color w:val="auto"/>
          <w:sz w:val="22"/>
          <w:szCs w:val="22"/>
        </w:rPr>
        <w:lastRenderedPageBreak/>
        <w:t>Determinar que, caso seja identificado alguma movimentação no Sistema de Informação e Comunicação do CAU (SICCAU) indicando o exercício da pessoa jurídica, a situação será encaminhada para análise e deliberação pela CEP-CAU/RS;</w:t>
      </w:r>
    </w:p>
    <w:p w:rsidR="00901719" w:rsidRPr="00901719" w:rsidRDefault="00901719" w:rsidP="00901719">
      <w:pPr>
        <w:pStyle w:val="Default"/>
        <w:jc w:val="both"/>
        <w:rPr>
          <w:rFonts w:ascii="Times New Roman" w:hAnsi="Times New Roman" w:cs="Times New Roman"/>
          <w:color w:val="auto"/>
          <w:sz w:val="22"/>
          <w:szCs w:val="22"/>
        </w:rPr>
      </w:pPr>
    </w:p>
    <w:p w:rsidR="00E159E1" w:rsidRPr="00901719" w:rsidRDefault="00E159E1" w:rsidP="00E159E1">
      <w:pPr>
        <w:jc w:val="both"/>
        <w:rPr>
          <w:rFonts w:ascii="Times New Roman" w:hAnsi="Times New Roman"/>
          <w:sz w:val="22"/>
          <w:szCs w:val="22"/>
          <w:u w:val="single"/>
          <w:lang w:eastAsia="pt-BR"/>
        </w:rPr>
      </w:pPr>
      <w:r w:rsidRPr="00901719">
        <w:rPr>
          <w:rFonts w:ascii="Times New Roman" w:hAnsi="Times New Roman"/>
          <w:sz w:val="22"/>
          <w:szCs w:val="22"/>
          <w:u w:val="single"/>
          <w:lang w:eastAsia="pt-BR"/>
        </w:rPr>
        <w:t xml:space="preserve">Esta deliberação entra em vigor na data de sua publicação. </w:t>
      </w:r>
    </w:p>
    <w:p w:rsidR="00E159E1" w:rsidRPr="00901719" w:rsidRDefault="00E159E1" w:rsidP="00E159E1">
      <w:pPr>
        <w:pStyle w:val="PargrafodaLista"/>
        <w:tabs>
          <w:tab w:val="left" w:pos="142"/>
        </w:tabs>
        <w:ind w:left="0"/>
        <w:jc w:val="both"/>
        <w:rPr>
          <w:rFonts w:ascii="Times New Roman" w:hAnsi="Times New Roman"/>
          <w:sz w:val="22"/>
          <w:szCs w:val="22"/>
        </w:rPr>
      </w:pPr>
    </w:p>
    <w:p w:rsidR="00693E73" w:rsidRPr="00C46135" w:rsidRDefault="00693E73" w:rsidP="00693E73">
      <w:pPr>
        <w:jc w:val="both"/>
        <w:rPr>
          <w:rFonts w:ascii="Times New Roman" w:hAnsi="Times New Roman"/>
          <w:sz w:val="22"/>
          <w:szCs w:val="22"/>
          <w:lang w:eastAsia="pt-BR"/>
        </w:rPr>
      </w:pPr>
      <w:r w:rsidRPr="00955F5C">
        <w:rPr>
          <w:rFonts w:ascii="Times New Roman" w:hAnsi="Times New Roman"/>
          <w:sz w:val="22"/>
          <w:szCs w:val="22"/>
          <w:lang w:eastAsia="pt-BR"/>
        </w:rPr>
        <w:t xml:space="preserve">Com </w:t>
      </w:r>
      <w:r w:rsidRPr="00271F59">
        <w:rPr>
          <w:rFonts w:ascii="Times New Roman" w:hAnsi="Times New Roman"/>
          <w:b/>
          <w:sz w:val="22"/>
          <w:szCs w:val="22"/>
          <w:lang w:eastAsia="pt-BR"/>
        </w:rPr>
        <w:t>17 (dezessete) votos favoráveis</w:t>
      </w:r>
      <w:r w:rsidRPr="00955F5C">
        <w:rPr>
          <w:rFonts w:ascii="Times New Roman" w:hAnsi="Times New Roman"/>
          <w:sz w:val="22"/>
          <w:szCs w:val="22"/>
          <w:lang w:eastAsia="pt-BR"/>
        </w:rPr>
        <w:t xml:space="preserve"> dos conselheiros Alvino Jara, Ana Rosa Sulzbach Cé, Clóvis Ilgenfritz</w:t>
      </w:r>
      <w:r w:rsidRPr="00C46135">
        <w:rPr>
          <w:rFonts w:ascii="Times New Roman" w:hAnsi="Times New Roman"/>
          <w:sz w:val="22"/>
          <w:szCs w:val="22"/>
          <w:lang w:eastAsia="pt-BR"/>
        </w:rPr>
        <w:t xml:space="preserve"> da Silva</w:t>
      </w:r>
      <w:r>
        <w:rPr>
          <w:rFonts w:ascii="Times New Roman" w:hAnsi="Times New Roman"/>
          <w:sz w:val="22"/>
          <w:szCs w:val="22"/>
          <w:lang w:eastAsia="pt-BR"/>
        </w:rPr>
        <w:t xml:space="preserve">, </w:t>
      </w:r>
      <w:r w:rsidRPr="00C46135">
        <w:rPr>
          <w:rFonts w:ascii="Times New Roman" w:hAnsi="Times New Roman"/>
          <w:sz w:val="22"/>
          <w:szCs w:val="22"/>
          <w:lang w:eastAsia="pt-BR"/>
        </w:rPr>
        <w:t xml:space="preserve">Marisa Potter, José Arthur Fell, Renata Camilo Maraschin, Matias Revello Vazquez, Noé Vega Cotta de Mello, Oritz Adriano Adams de Campos, Paulo Fernando do Amaral Fontana, Paulo Ricardo Bregatto, Emilio Merino Dominguez, Roberto Luiz Decó, Rodrigo Spinelli, Rômulo Plentz Giralt, Rui Mineiro e Vinicius Vieira de Souza e </w:t>
      </w:r>
      <w:r w:rsidRPr="00271F59">
        <w:rPr>
          <w:rFonts w:ascii="Times New Roman" w:hAnsi="Times New Roman"/>
          <w:b/>
          <w:sz w:val="22"/>
          <w:szCs w:val="22"/>
          <w:lang w:eastAsia="pt-BR"/>
        </w:rPr>
        <w:t>01 (uma) ausência</w:t>
      </w:r>
      <w:r w:rsidRPr="00C46135">
        <w:rPr>
          <w:rFonts w:ascii="Times New Roman" w:hAnsi="Times New Roman"/>
          <w:sz w:val="22"/>
          <w:szCs w:val="22"/>
          <w:lang w:eastAsia="pt-BR"/>
        </w:rPr>
        <w:t xml:space="preserve"> do conselheiro Rodrigo Rintzel.</w:t>
      </w:r>
    </w:p>
    <w:p w:rsidR="0050455C" w:rsidRPr="00901719" w:rsidRDefault="0050455C"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4E1567" w:rsidRPr="00901719" w:rsidRDefault="004E1567" w:rsidP="004E1567">
      <w:pPr>
        <w:jc w:val="center"/>
        <w:rPr>
          <w:rFonts w:ascii="Times New Roman" w:hAnsi="Times New Roman"/>
          <w:sz w:val="22"/>
          <w:szCs w:val="22"/>
          <w:lang w:eastAsia="pt-BR"/>
        </w:rPr>
      </w:pPr>
      <w:r w:rsidRPr="00901719">
        <w:rPr>
          <w:rFonts w:ascii="Times New Roman" w:hAnsi="Times New Roman"/>
          <w:sz w:val="22"/>
          <w:szCs w:val="22"/>
          <w:lang w:eastAsia="pt-BR"/>
        </w:rPr>
        <w:t>Porto Alegre – RS, 28 de setembro de 2018.</w:t>
      </w:r>
    </w:p>
    <w:p w:rsidR="004E1567" w:rsidRPr="00901719" w:rsidRDefault="004E1567"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4E1567" w:rsidRPr="00901719" w:rsidRDefault="004E1567" w:rsidP="004E1567">
      <w:pPr>
        <w:jc w:val="center"/>
        <w:rPr>
          <w:rFonts w:ascii="Times New Roman" w:hAnsi="Times New Roman"/>
          <w:b/>
          <w:sz w:val="22"/>
          <w:szCs w:val="22"/>
          <w:lang w:eastAsia="pt-BR"/>
        </w:rPr>
      </w:pPr>
      <w:r w:rsidRPr="00901719">
        <w:rPr>
          <w:rFonts w:ascii="Times New Roman" w:hAnsi="Times New Roman"/>
          <w:b/>
          <w:sz w:val="22"/>
          <w:szCs w:val="22"/>
          <w:lang w:eastAsia="pt-BR"/>
        </w:rPr>
        <w:t>TIAGO HOLZMANN DA SILVA</w:t>
      </w:r>
    </w:p>
    <w:p w:rsidR="004E1567" w:rsidRPr="00901719" w:rsidRDefault="004E1567" w:rsidP="004E1567">
      <w:pPr>
        <w:jc w:val="center"/>
        <w:rPr>
          <w:rFonts w:ascii="Times New Roman" w:hAnsi="Times New Roman"/>
          <w:sz w:val="22"/>
          <w:szCs w:val="22"/>
          <w:lang w:eastAsia="pt-BR"/>
        </w:rPr>
      </w:pPr>
      <w:r w:rsidRPr="00901719">
        <w:rPr>
          <w:rFonts w:ascii="Times New Roman" w:hAnsi="Times New Roman"/>
          <w:sz w:val="22"/>
          <w:szCs w:val="22"/>
          <w:lang w:eastAsia="pt-BR"/>
        </w:rPr>
        <w:t>Presidente do CAU/RS</w:t>
      </w:r>
    </w:p>
    <w:p w:rsidR="004E1567" w:rsidRPr="00901719" w:rsidRDefault="004E1567">
      <w:pPr>
        <w:spacing w:after="200" w:line="276" w:lineRule="auto"/>
        <w:rPr>
          <w:rFonts w:ascii="Times New Roman" w:hAnsi="Times New Roman"/>
          <w:sz w:val="22"/>
          <w:szCs w:val="22"/>
          <w:lang w:eastAsia="pt-BR"/>
        </w:rPr>
      </w:pPr>
      <w:r w:rsidRPr="00901719">
        <w:rPr>
          <w:rFonts w:ascii="Times New Roman" w:hAnsi="Times New Roman"/>
          <w:sz w:val="22"/>
          <w:szCs w:val="22"/>
          <w:lang w:eastAsia="pt-BR"/>
        </w:rPr>
        <w:br w:type="page"/>
      </w:r>
    </w:p>
    <w:p w:rsidR="004E1567" w:rsidRPr="0048333D" w:rsidRDefault="004E1567" w:rsidP="004E1567">
      <w:pPr>
        <w:jc w:val="center"/>
        <w:rPr>
          <w:rFonts w:ascii="Times New Roman" w:hAnsi="Times New Roman"/>
          <w:sz w:val="20"/>
          <w:szCs w:val="20"/>
          <w:lang w:eastAsia="pt-BR"/>
        </w:rPr>
      </w:pPr>
    </w:p>
    <w:p w:rsidR="004E1567" w:rsidRPr="008D7E43" w:rsidRDefault="004E1567" w:rsidP="004E1567">
      <w:pPr>
        <w:spacing w:after="200" w:line="276" w:lineRule="auto"/>
        <w:jc w:val="center"/>
        <w:rPr>
          <w:rFonts w:ascii="Times New Roman" w:hAnsi="Times New Roman"/>
          <w:b/>
          <w:bCs/>
          <w:lang w:eastAsia="pt-BR"/>
        </w:rPr>
      </w:pPr>
      <w:r>
        <w:rPr>
          <w:rFonts w:ascii="Times New Roman" w:hAnsi="Times New Roman"/>
          <w:b/>
          <w:bCs/>
          <w:lang w:eastAsia="pt-BR"/>
        </w:rPr>
        <w:t>89</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4E1567" w:rsidRPr="008D7E43" w:rsidRDefault="004E1567" w:rsidP="004E1567">
      <w:pPr>
        <w:autoSpaceDE w:val="0"/>
        <w:autoSpaceDN w:val="0"/>
        <w:adjustRightInd w:val="0"/>
        <w:jc w:val="center"/>
        <w:rPr>
          <w:rFonts w:ascii="Times New Roman" w:hAnsi="Times New Roman"/>
          <w:lang w:eastAsia="pt-BR"/>
        </w:rPr>
      </w:pPr>
    </w:p>
    <w:p w:rsidR="004E1567" w:rsidRPr="008D7E43" w:rsidRDefault="004E1567" w:rsidP="004E1567">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4E1567" w:rsidRPr="008D7E43" w:rsidRDefault="004E1567" w:rsidP="004E1567">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4E1567"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4E1567"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 xml:space="preserve">Marisa Potter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r w:rsidR="00693E73"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93E73" w:rsidRPr="00EC1EDA" w:rsidRDefault="00693E73" w:rsidP="00693E73">
            <w:pPr>
              <w:spacing w:line="276" w:lineRule="auto"/>
              <w:rPr>
                <w:rFonts w:ascii="Times New Roman" w:hAnsi="Times New Roman"/>
                <w:sz w:val="22"/>
                <w:szCs w:val="22"/>
              </w:rPr>
            </w:pPr>
            <w:r w:rsidRPr="00EC1ED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3E73" w:rsidRPr="00EC1EDA" w:rsidRDefault="00693E73" w:rsidP="00693E73">
            <w:pPr>
              <w:tabs>
                <w:tab w:val="left" w:pos="1418"/>
              </w:tabs>
              <w:spacing w:line="276" w:lineRule="auto"/>
              <w:jc w:val="center"/>
              <w:rPr>
                <w:rFonts w:ascii="Times New Roman" w:hAnsi="Times New Roman"/>
                <w:sz w:val="22"/>
                <w:szCs w:val="22"/>
              </w:rPr>
            </w:pPr>
          </w:p>
        </w:tc>
      </w:tr>
    </w:tbl>
    <w:p w:rsidR="004E1567" w:rsidRPr="009D381F" w:rsidRDefault="004E1567" w:rsidP="004E1567">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037508" w:rsidRPr="00FB6C18" w:rsidTr="00784FCA">
        <w:trPr>
          <w:trHeight w:val="257"/>
        </w:trPr>
        <w:tc>
          <w:tcPr>
            <w:tcW w:w="9060" w:type="dxa"/>
            <w:gridSpan w:val="2"/>
            <w:shd w:val="clear" w:color="auto" w:fill="D9D9D9"/>
          </w:tcPr>
          <w:p w:rsidR="00037508" w:rsidRPr="00034170" w:rsidRDefault="00037508" w:rsidP="00AF0FF4">
            <w:pPr>
              <w:tabs>
                <w:tab w:val="left" w:pos="1418"/>
              </w:tabs>
              <w:spacing w:line="480" w:lineRule="auto"/>
              <w:jc w:val="both"/>
              <w:rPr>
                <w:rFonts w:ascii="Times New Roman" w:hAnsi="Times New Roman"/>
                <w:sz w:val="20"/>
                <w:szCs w:val="22"/>
              </w:rPr>
            </w:pPr>
            <w:r>
              <w:rPr>
                <w:rFonts w:ascii="Times New Roman" w:hAnsi="Times New Roman"/>
                <w:b/>
                <w:sz w:val="20"/>
                <w:szCs w:val="22"/>
              </w:rPr>
              <w:t xml:space="preserve">Reunião Plenária Ordinária nº </w:t>
            </w:r>
            <w:r w:rsidR="00AF0FF4">
              <w:rPr>
                <w:rFonts w:ascii="Times New Roman" w:hAnsi="Times New Roman"/>
                <w:b/>
                <w:sz w:val="20"/>
                <w:szCs w:val="22"/>
              </w:rPr>
              <w:t>89</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AF0FF4">
              <w:rPr>
                <w:rFonts w:ascii="Times New Roman" w:hAnsi="Times New Roman"/>
                <w:sz w:val="20"/>
                <w:szCs w:val="22"/>
              </w:rPr>
              <w:t>28/09</w:t>
            </w:r>
            <w:r w:rsidRPr="00034170">
              <w:rPr>
                <w:rFonts w:ascii="Times New Roman" w:hAnsi="Times New Roman"/>
                <w:sz w:val="20"/>
                <w:szCs w:val="22"/>
              </w:rPr>
              <w:t>/2018</w:t>
            </w:r>
          </w:p>
          <w:p w:rsidR="00037508" w:rsidRPr="00034170" w:rsidRDefault="00037508" w:rsidP="00784FCA">
            <w:pPr>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 xml:space="preserve">DPO Nº </w:t>
            </w:r>
            <w:r w:rsidR="00AF0FF4">
              <w:rPr>
                <w:rFonts w:ascii="Times New Roman" w:hAnsi="Times New Roman"/>
                <w:sz w:val="20"/>
                <w:szCs w:val="22"/>
              </w:rPr>
              <w:t>96</w:t>
            </w:r>
            <w:r w:rsidR="00693E73">
              <w:rPr>
                <w:rFonts w:ascii="Times New Roman" w:hAnsi="Times New Roman"/>
                <w:sz w:val="20"/>
                <w:szCs w:val="22"/>
              </w:rPr>
              <w:t>5</w:t>
            </w:r>
            <w:bookmarkStart w:id="6" w:name="_GoBack"/>
            <w:bookmarkEnd w:id="6"/>
            <w:r w:rsidRPr="00034170">
              <w:rPr>
                <w:rFonts w:ascii="Times New Roman" w:hAnsi="Times New Roman"/>
                <w:sz w:val="20"/>
                <w:szCs w:val="22"/>
              </w:rPr>
              <w:t xml:space="preserve">/2018 – </w:t>
            </w:r>
            <w:r w:rsidR="003C1340" w:rsidRPr="003C1340">
              <w:rPr>
                <w:rFonts w:ascii="Times New Roman" w:hAnsi="Times New Roman"/>
                <w:sz w:val="20"/>
                <w:szCs w:val="22"/>
              </w:rPr>
              <w:t>Homologa o procedimento de baixa de ofício quando detectada a situação de extinção ou baixa no CNPJ conforme consulta à Receita Federal</w:t>
            </w:r>
            <w:r w:rsidRPr="001B043E">
              <w:rPr>
                <w:rFonts w:ascii="Times New Roman" w:hAnsi="Times New Roman"/>
                <w:sz w:val="20"/>
                <w:szCs w:val="22"/>
              </w:rPr>
              <w:t>.</w:t>
            </w:r>
          </w:p>
          <w:p w:rsidR="00037508" w:rsidRPr="00034170" w:rsidRDefault="00037508"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037508" w:rsidRPr="00FB6C18" w:rsidTr="00784FCA">
        <w:trPr>
          <w:trHeight w:val="277"/>
        </w:trPr>
        <w:tc>
          <w:tcPr>
            <w:tcW w:w="9060" w:type="dxa"/>
            <w:gridSpan w:val="2"/>
            <w:shd w:val="clear" w:color="auto" w:fill="D9D9D9"/>
          </w:tcPr>
          <w:p w:rsidR="00037508" w:rsidRPr="00034170" w:rsidRDefault="00037508" w:rsidP="00693E73">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(1</w:t>
            </w:r>
            <w:r w:rsidR="00693E73">
              <w:rPr>
                <w:rFonts w:ascii="Times New Roman" w:hAnsi="Times New Roman"/>
                <w:sz w:val="20"/>
                <w:szCs w:val="22"/>
              </w:rPr>
              <w:t>7</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w:t>
            </w:r>
            <w:r w:rsidR="00A57887">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693E73">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A57887">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037508" w:rsidRPr="00FB6C18" w:rsidTr="00784FCA">
        <w:trPr>
          <w:trHeight w:val="257"/>
        </w:trPr>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037508" w:rsidRPr="00FB6C18" w:rsidRDefault="00037508" w:rsidP="00037508">
      <w:pPr>
        <w:ind w:right="842"/>
        <w:jc w:val="both"/>
        <w:rPr>
          <w:rFonts w:ascii="Times New Roman" w:hAnsi="Times New Roman"/>
          <w:sz w:val="22"/>
          <w:szCs w:val="22"/>
        </w:rPr>
      </w:pPr>
    </w:p>
    <w:p w:rsidR="00D213CD" w:rsidRPr="00C67F40" w:rsidRDefault="00D213CD" w:rsidP="00037508">
      <w:pPr>
        <w:jc w:val="both"/>
        <w:rPr>
          <w:rFonts w:ascii="Times New Roman" w:hAnsi="Times New Roman"/>
        </w:rPr>
      </w:pPr>
    </w:p>
    <w:sectPr w:rsidR="00D213CD" w:rsidRPr="00C67F40" w:rsidSect="00A57887">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B26" w:rsidRDefault="00720B26" w:rsidP="004C3048">
      <w:r>
        <w:separator/>
      </w:r>
    </w:p>
  </w:endnote>
  <w:endnote w:type="continuationSeparator" w:id="0">
    <w:p w:rsidR="00720B26" w:rsidRDefault="00720B2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00D5F">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00D5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B26" w:rsidRDefault="00720B26" w:rsidP="004C3048">
      <w:r>
        <w:separator/>
      </w:r>
    </w:p>
  </w:footnote>
  <w:footnote w:type="continuationSeparator" w:id="0">
    <w:p w:rsidR="00720B26" w:rsidRDefault="00720B2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94653A0"/>
    <w:multiLevelType w:val="hybridMultilevel"/>
    <w:tmpl w:val="91E0B772"/>
    <w:lvl w:ilvl="0" w:tplc="D0CCE08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3"/>
  </w:num>
  <w:num w:numId="5">
    <w:abstractNumId w:val="6"/>
  </w:num>
  <w:num w:numId="6">
    <w:abstractNumId w:val="11"/>
  </w:num>
  <w:num w:numId="7">
    <w:abstractNumId w:val="9"/>
  </w:num>
  <w:num w:numId="8">
    <w:abstractNumId w:val="7"/>
  </w:num>
  <w:num w:numId="9">
    <w:abstractNumId w:val="0"/>
  </w:num>
  <w:num w:numId="10">
    <w:abstractNumId w:val="12"/>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5E3B"/>
    <w:rsid w:val="00037508"/>
    <w:rsid w:val="00040A86"/>
    <w:rsid w:val="000425B3"/>
    <w:rsid w:val="000527E4"/>
    <w:rsid w:val="000605F6"/>
    <w:rsid w:val="00062599"/>
    <w:rsid w:val="00065201"/>
    <w:rsid w:val="00067264"/>
    <w:rsid w:val="000803D1"/>
    <w:rsid w:val="00094D18"/>
    <w:rsid w:val="000C1A24"/>
    <w:rsid w:val="000C3500"/>
    <w:rsid w:val="000D3E3E"/>
    <w:rsid w:val="000D4C5E"/>
    <w:rsid w:val="000D5BC9"/>
    <w:rsid w:val="000E0909"/>
    <w:rsid w:val="000E2009"/>
    <w:rsid w:val="000F339D"/>
    <w:rsid w:val="000F7990"/>
    <w:rsid w:val="0010374D"/>
    <w:rsid w:val="00117EDD"/>
    <w:rsid w:val="00124A49"/>
    <w:rsid w:val="00132D25"/>
    <w:rsid w:val="00133AD2"/>
    <w:rsid w:val="00135D65"/>
    <w:rsid w:val="00143375"/>
    <w:rsid w:val="00150FB1"/>
    <w:rsid w:val="00170CA0"/>
    <w:rsid w:val="00174A5A"/>
    <w:rsid w:val="001778C5"/>
    <w:rsid w:val="00180FB9"/>
    <w:rsid w:val="001B5148"/>
    <w:rsid w:val="001B5F62"/>
    <w:rsid w:val="001E56D2"/>
    <w:rsid w:val="001F61E5"/>
    <w:rsid w:val="00216C06"/>
    <w:rsid w:val="00220A16"/>
    <w:rsid w:val="002473AC"/>
    <w:rsid w:val="0025277E"/>
    <w:rsid w:val="0025716D"/>
    <w:rsid w:val="00280F33"/>
    <w:rsid w:val="00285A83"/>
    <w:rsid w:val="00295FD5"/>
    <w:rsid w:val="002974CF"/>
    <w:rsid w:val="002A3A72"/>
    <w:rsid w:val="002A7C5E"/>
    <w:rsid w:val="002C6014"/>
    <w:rsid w:val="002D4361"/>
    <w:rsid w:val="002D776E"/>
    <w:rsid w:val="002E293E"/>
    <w:rsid w:val="002F2AD1"/>
    <w:rsid w:val="002F607E"/>
    <w:rsid w:val="00300D5F"/>
    <w:rsid w:val="00302BAF"/>
    <w:rsid w:val="00305DCB"/>
    <w:rsid w:val="00306127"/>
    <w:rsid w:val="00311134"/>
    <w:rsid w:val="00320980"/>
    <w:rsid w:val="0032148B"/>
    <w:rsid w:val="003411BA"/>
    <w:rsid w:val="00347324"/>
    <w:rsid w:val="00354743"/>
    <w:rsid w:val="003557D1"/>
    <w:rsid w:val="00360A08"/>
    <w:rsid w:val="00363FA5"/>
    <w:rsid w:val="00367DAC"/>
    <w:rsid w:val="00367F06"/>
    <w:rsid w:val="00371CAF"/>
    <w:rsid w:val="00383F38"/>
    <w:rsid w:val="003945A8"/>
    <w:rsid w:val="003A699B"/>
    <w:rsid w:val="003B39EE"/>
    <w:rsid w:val="003B4E9A"/>
    <w:rsid w:val="003B7D60"/>
    <w:rsid w:val="003C1340"/>
    <w:rsid w:val="003C3C3A"/>
    <w:rsid w:val="003C484E"/>
    <w:rsid w:val="003F1946"/>
    <w:rsid w:val="003F26B5"/>
    <w:rsid w:val="003F5088"/>
    <w:rsid w:val="00410566"/>
    <w:rsid w:val="004123FC"/>
    <w:rsid w:val="00426A82"/>
    <w:rsid w:val="00433DE0"/>
    <w:rsid w:val="004355BD"/>
    <w:rsid w:val="00444806"/>
    <w:rsid w:val="00447C6C"/>
    <w:rsid w:val="00453128"/>
    <w:rsid w:val="0047069E"/>
    <w:rsid w:val="00471056"/>
    <w:rsid w:val="00483414"/>
    <w:rsid w:val="004A3A07"/>
    <w:rsid w:val="004B3023"/>
    <w:rsid w:val="004B4A03"/>
    <w:rsid w:val="004B5A5C"/>
    <w:rsid w:val="004B5DE8"/>
    <w:rsid w:val="004C3048"/>
    <w:rsid w:val="004D75DA"/>
    <w:rsid w:val="004E062B"/>
    <w:rsid w:val="004E1567"/>
    <w:rsid w:val="004F15C8"/>
    <w:rsid w:val="004F73E6"/>
    <w:rsid w:val="00500C6E"/>
    <w:rsid w:val="0050455C"/>
    <w:rsid w:val="00520640"/>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93E73"/>
    <w:rsid w:val="006A797D"/>
    <w:rsid w:val="006B670F"/>
    <w:rsid w:val="006C14F3"/>
    <w:rsid w:val="006C75E7"/>
    <w:rsid w:val="006D2981"/>
    <w:rsid w:val="006F251A"/>
    <w:rsid w:val="006F4E9B"/>
    <w:rsid w:val="006F6327"/>
    <w:rsid w:val="00720B26"/>
    <w:rsid w:val="0073189D"/>
    <w:rsid w:val="00731BBD"/>
    <w:rsid w:val="007375FB"/>
    <w:rsid w:val="00740E14"/>
    <w:rsid w:val="00750C46"/>
    <w:rsid w:val="0075194D"/>
    <w:rsid w:val="0076286B"/>
    <w:rsid w:val="00776B7B"/>
    <w:rsid w:val="00786A03"/>
    <w:rsid w:val="007B7B0D"/>
    <w:rsid w:val="007B7BB9"/>
    <w:rsid w:val="007C0FB9"/>
    <w:rsid w:val="007C50BE"/>
    <w:rsid w:val="007D1BCF"/>
    <w:rsid w:val="00805FC1"/>
    <w:rsid w:val="0081283D"/>
    <w:rsid w:val="00820678"/>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1719"/>
    <w:rsid w:val="009073DD"/>
    <w:rsid w:val="009269BD"/>
    <w:rsid w:val="00930D3C"/>
    <w:rsid w:val="0093154B"/>
    <w:rsid w:val="009332E4"/>
    <w:rsid w:val="009347B2"/>
    <w:rsid w:val="00944127"/>
    <w:rsid w:val="00945247"/>
    <w:rsid w:val="009461BD"/>
    <w:rsid w:val="0094772A"/>
    <w:rsid w:val="009643CB"/>
    <w:rsid w:val="00974359"/>
    <w:rsid w:val="009B5DB8"/>
    <w:rsid w:val="009C55B9"/>
    <w:rsid w:val="009C581F"/>
    <w:rsid w:val="009D0886"/>
    <w:rsid w:val="009E3C4D"/>
    <w:rsid w:val="009E4022"/>
    <w:rsid w:val="009F43E0"/>
    <w:rsid w:val="00A050DB"/>
    <w:rsid w:val="00A143BC"/>
    <w:rsid w:val="00A2747D"/>
    <w:rsid w:val="00A40ECC"/>
    <w:rsid w:val="00A41DE6"/>
    <w:rsid w:val="00A43C37"/>
    <w:rsid w:val="00A518F7"/>
    <w:rsid w:val="00A5515C"/>
    <w:rsid w:val="00A565FE"/>
    <w:rsid w:val="00A570C2"/>
    <w:rsid w:val="00A57887"/>
    <w:rsid w:val="00A62383"/>
    <w:rsid w:val="00A80C65"/>
    <w:rsid w:val="00A83107"/>
    <w:rsid w:val="00AA2DDC"/>
    <w:rsid w:val="00AC1D72"/>
    <w:rsid w:val="00AE2654"/>
    <w:rsid w:val="00AF0FF4"/>
    <w:rsid w:val="00AF368E"/>
    <w:rsid w:val="00B04170"/>
    <w:rsid w:val="00B129F6"/>
    <w:rsid w:val="00B15D4F"/>
    <w:rsid w:val="00B2393E"/>
    <w:rsid w:val="00B23E93"/>
    <w:rsid w:val="00B309B7"/>
    <w:rsid w:val="00B3272B"/>
    <w:rsid w:val="00B37B9F"/>
    <w:rsid w:val="00B6066A"/>
    <w:rsid w:val="00B63C2E"/>
    <w:rsid w:val="00B73A02"/>
    <w:rsid w:val="00B763CF"/>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191"/>
    <w:rsid w:val="00E0487E"/>
    <w:rsid w:val="00E12EC2"/>
    <w:rsid w:val="00E159E1"/>
    <w:rsid w:val="00E22ADE"/>
    <w:rsid w:val="00E22AF6"/>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C2F44-F202-49FE-BAB3-8A1BAC86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1360</Words>
  <Characters>8134</Characters>
  <Application>Microsoft Office Word</Application>
  <DocSecurity>0</DocSecurity>
  <Lines>428</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20</cp:revision>
  <cp:lastPrinted>2018-08-02T20:24:00Z</cp:lastPrinted>
  <dcterms:created xsi:type="dcterms:W3CDTF">2018-07-20T18:10:00Z</dcterms:created>
  <dcterms:modified xsi:type="dcterms:W3CDTF">2018-10-01T18:12:00Z</dcterms:modified>
</cp:coreProperties>
</file>