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A80005" w:rsidRPr="003B36FD" w:rsidTr="00FD70BD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A80005" w:rsidRPr="003B36FD" w:rsidRDefault="00A80005" w:rsidP="00A80005">
            <w:pPr>
              <w:rPr>
                <w:rFonts w:ascii="Times New Roman" w:hAnsi="Times New Roman"/>
                <w:sz w:val="22"/>
                <w:szCs w:val="22"/>
              </w:rPr>
            </w:pPr>
            <w:r w:rsidRPr="003B36F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A80005" w:rsidRPr="003B36FD" w:rsidRDefault="003B36FD" w:rsidP="00A80005">
            <w:pPr>
              <w:rPr>
                <w:rFonts w:ascii="Times New Roman" w:hAnsi="Times New Roman"/>
                <w:sz w:val="22"/>
                <w:szCs w:val="22"/>
              </w:rPr>
            </w:pPr>
            <w:r w:rsidRPr="003B36FD">
              <w:rPr>
                <w:rFonts w:ascii="Times New Roman" w:hAnsi="Times New Roman"/>
                <w:sz w:val="22"/>
                <w:szCs w:val="22"/>
              </w:rPr>
              <w:t>Comissão de Ética e Disciplina do CAU/RS</w:t>
            </w:r>
          </w:p>
        </w:tc>
      </w:tr>
      <w:tr w:rsidR="00A80005" w:rsidRPr="003B36FD" w:rsidTr="00A80005">
        <w:trPr>
          <w:gridAfter w:val="1"/>
          <w:wAfter w:w="25" w:type="dxa"/>
          <w:trHeight w:hRule="exact" w:val="86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</w:tcPr>
          <w:p w:rsidR="00A80005" w:rsidRPr="003B36FD" w:rsidRDefault="00A80005" w:rsidP="00A80005">
            <w:pPr>
              <w:rPr>
                <w:rFonts w:ascii="Times New Roman" w:hAnsi="Times New Roman"/>
                <w:sz w:val="22"/>
                <w:szCs w:val="22"/>
              </w:rPr>
            </w:pPr>
            <w:r w:rsidRPr="003B36F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A80005" w:rsidRPr="003B36FD" w:rsidRDefault="00A80005" w:rsidP="00A80005">
            <w:pPr>
              <w:rPr>
                <w:rFonts w:ascii="Times New Roman" w:hAnsi="Times New Roman"/>
                <w:sz w:val="22"/>
                <w:szCs w:val="22"/>
              </w:rPr>
            </w:pPr>
            <w:r w:rsidRPr="003B36FD">
              <w:rPr>
                <w:rFonts w:ascii="Times New Roman" w:hAnsi="Times New Roman"/>
                <w:sz w:val="22"/>
                <w:szCs w:val="22"/>
              </w:rPr>
              <w:t>Homologa encaminhamento quanto a necessidade de entendimento relativo ao aspecto ético da inadimplência de profissionais pela Comissão de Ética e Disciplina do CAU/RS</w:t>
            </w:r>
          </w:p>
        </w:tc>
      </w:tr>
      <w:tr w:rsidR="0099031C" w:rsidRPr="003B36FD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3B36FD" w:rsidRDefault="0099031C" w:rsidP="00A80005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36FD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436D6D" w:rsidRPr="003B36FD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C124BD" w:rsidRPr="003B36FD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3B36FD">
              <w:rPr>
                <w:rFonts w:ascii="Times New Roman" w:hAnsi="Times New Roman"/>
                <w:b/>
                <w:sz w:val="22"/>
                <w:szCs w:val="22"/>
              </w:rPr>
              <w:t xml:space="preserve"> Nº</w:t>
            </w:r>
            <w:r w:rsidR="00450CEC" w:rsidRPr="003B36FD">
              <w:rPr>
                <w:rFonts w:ascii="Times New Roman" w:hAnsi="Times New Roman"/>
                <w:b/>
                <w:sz w:val="22"/>
                <w:szCs w:val="22"/>
              </w:rPr>
              <w:t xml:space="preserve"> 110</w:t>
            </w:r>
            <w:r w:rsidR="00A80005" w:rsidRPr="003B36F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3B36F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7A5EB5" w:rsidRPr="003B36FD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CB5759" w:rsidRPr="003B36FD" w:rsidRDefault="00CB5759" w:rsidP="005455AE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A80005" w:rsidRPr="003B36FD" w:rsidRDefault="00A80005" w:rsidP="00A80005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Homologa encaminhamento quanto a necessidade de entendimento relativo ao aspecto ético da inadimplência de profissionais pela Comissão de Ética e Disciplina do CAU/RS.</w:t>
      </w:r>
    </w:p>
    <w:p w:rsidR="00D75010" w:rsidRDefault="00D75010" w:rsidP="005455AE">
      <w:pPr>
        <w:ind w:left="4536" w:right="275"/>
        <w:jc w:val="both"/>
        <w:rPr>
          <w:rFonts w:ascii="Times New Roman" w:hAnsi="Times New Roman"/>
          <w:sz w:val="20"/>
        </w:rPr>
      </w:pPr>
    </w:p>
    <w:p w:rsidR="00D75010" w:rsidRPr="003B36FD" w:rsidRDefault="00D75010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CAU/RS, no exercício das competências e prerrogativas de que trata o artigo </w:t>
      </w:r>
      <w:r w:rsidR="00E4654E" w:rsidRPr="003B36FD">
        <w:rPr>
          <w:rFonts w:ascii="Times New Roman" w:hAnsi="Times New Roman"/>
          <w:sz w:val="22"/>
          <w:szCs w:val="22"/>
        </w:rPr>
        <w:t>29</w:t>
      </w:r>
      <w:r w:rsidRPr="003B36FD">
        <w:rPr>
          <w:rFonts w:ascii="Times New Roman" w:hAnsi="Times New Roman"/>
          <w:sz w:val="22"/>
          <w:szCs w:val="22"/>
        </w:rPr>
        <w:t xml:space="preserve">, Inciso </w:t>
      </w:r>
      <w:r w:rsidR="00E4654E" w:rsidRPr="003B36FD">
        <w:rPr>
          <w:rFonts w:ascii="Times New Roman" w:hAnsi="Times New Roman"/>
          <w:sz w:val="22"/>
          <w:szCs w:val="22"/>
        </w:rPr>
        <w:t>L</w:t>
      </w:r>
      <w:r w:rsidRPr="003B36FD">
        <w:rPr>
          <w:rFonts w:ascii="Times New Roman" w:hAnsi="Times New Roman"/>
          <w:sz w:val="22"/>
          <w:szCs w:val="22"/>
        </w:rPr>
        <w:t>XI</w:t>
      </w:r>
      <w:r w:rsidR="00E4654E" w:rsidRPr="003B36FD">
        <w:rPr>
          <w:rFonts w:ascii="Times New Roman" w:hAnsi="Times New Roman"/>
          <w:sz w:val="22"/>
          <w:szCs w:val="22"/>
        </w:rPr>
        <w:t>V</w:t>
      </w:r>
      <w:r w:rsidRPr="003B36FD">
        <w:rPr>
          <w:rFonts w:ascii="Times New Roman" w:hAnsi="Times New Roman"/>
          <w:sz w:val="22"/>
          <w:szCs w:val="22"/>
        </w:rPr>
        <w:t>, do Regimento Interno do CAU/RS</w:t>
      </w:r>
      <w:r w:rsidR="00450CEC" w:rsidRPr="003B36FD">
        <w:rPr>
          <w:rFonts w:ascii="Times New Roman" w:hAnsi="Times New Roman"/>
          <w:sz w:val="22"/>
          <w:szCs w:val="22"/>
        </w:rPr>
        <w:t xml:space="preserve"> reunido ordinariamente no Salão de Eventos do Moinho Office, localizado à Av. Dom Joaquim, 1515, no bairro Tres Vendas em Pelotas - RS, no dia 29 de novembro de 2019;</w:t>
      </w:r>
    </w:p>
    <w:p w:rsidR="00450CEC" w:rsidRPr="003B36FD" w:rsidRDefault="00450CEC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80005" w:rsidRPr="003B36FD" w:rsidRDefault="00A80005" w:rsidP="00A80005">
      <w:pPr>
        <w:autoSpaceDE w:val="0"/>
        <w:autoSpaceDN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Considerando que a Lei nº 12.378/2010 prevê como infração disciplinar:</w:t>
      </w:r>
    </w:p>
    <w:p w:rsidR="00A80005" w:rsidRPr="003B36FD" w:rsidRDefault="00A80005" w:rsidP="00A80005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 xml:space="preserve">Art. 18.  Constituem infrações disciplinares, além de outras definidas pelo Código de Ética e Disciplina: </w:t>
      </w:r>
    </w:p>
    <w:p w:rsidR="00A80005" w:rsidRPr="003B36FD" w:rsidRDefault="00A80005" w:rsidP="00A80005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(...)</w:t>
      </w:r>
    </w:p>
    <w:p w:rsidR="00A80005" w:rsidRPr="003B36FD" w:rsidRDefault="00A80005" w:rsidP="00A80005">
      <w:pPr>
        <w:autoSpaceDE w:val="0"/>
        <w:autoSpaceDN w:val="0"/>
        <w:spacing w:before="120" w:after="120"/>
        <w:ind w:left="2268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 xml:space="preserve">XI - deixar de pagar a anuidade, taxas, preços de serviços e multas devidos ao CAU/BR ou aos </w:t>
      </w:r>
      <w:proofErr w:type="spellStart"/>
      <w:r w:rsidRPr="003B36FD">
        <w:rPr>
          <w:rFonts w:ascii="Times New Roman" w:hAnsi="Times New Roman"/>
          <w:sz w:val="22"/>
          <w:szCs w:val="22"/>
        </w:rPr>
        <w:t>CAUs</w:t>
      </w:r>
      <w:proofErr w:type="spellEnd"/>
      <w:r w:rsidRPr="003B36FD">
        <w:rPr>
          <w:rFonts w:ascii="Times New Roman" w:hAnsi="Times New Roman"/>
          <w:sz w:val="22"/>
          <w:szCs w:val="22"/>
        </w:rPr>
        <w:t>, quando devidamente notificado.</w:t>
      </w:r>
    </w:p>
    <w:p w:rsidR="00A80005" w:rsidRPr="003B36FD" w:rsidRDefault="00A80005" w:rsidP="00A80005">
      <w:pPr>
        <w:autoSpaceDE w:val="0"/>
        <w:autoSpaceDN w:val="0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Considerando que estão em andamento 1560 (mil quinhentos e sessenta) processos de cobrança por inadimplência de pessoa física - referentes a anuidades, multas etc. - na Gerência financeira do CAU/RS, os quais estão em trâmites administrativos.</w:t>
      </w:r>
    </w:p>
    <w:p w:rsidR="00A80005" w:rsidRPr="003B36FD" w:rsidRDefault="00A80005" w:rsidP="00A80005">
      <w:pPr>
        <w:autoSpaceDE w:val="0"/>
        <w:autoSpaceDN w:val="0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Considerando que na Gerência Jurídica do CAU/RS existem 245 (duzentos e quarenta e cinco) processos de execução fiscal em andamento, os quais já tiveram os trâmites administrativos concluídos e seguem os trâmites judiciais para cobrança dos valores devidos.</w:t>
      </w:r>
    </w:p>
    <w:p w:rsidR="00A80005" w:rsidRPr="003B36FD" w:rsidRDefault="00A80005" w:rsidP="00A80005">
      <w:pPr>
        <w:autoSpaceDE w:val="0"/>
        <w:autoSpaceDN w:val="0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Considerando que não estão normatizados critérios para a admissão e o julgamento de um processo ético-disciplinar por inadimplência.</w:t>
      </w:r>
    </w:p>
    <w:p w:rsidR="00A80005" w:rsidRPr="003B36FD" w:rsidRDefault="00A80005" w:rsidP="00A80005">
      <w:pPr>
        <w:autoSpaceDE w:val="0"/>
        <w:autoSpaceDN w:val="0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Considerando que existe o caso de um processo ético-disciplinar por falta de pagamento de anuidades em andamento, que resumidamente, teve origem no relatório de fiscalização nº 1000022390/2015, emitido em 13/07/2015, cuja admissão foi realizada pela CED-CAU/RS em 27/04/2016, e suspenso pela comissão em 14/06/2016, até a conclusão do processo administrativo nº 115/2016 de cobrança, cujo término e inscrição em dívida ativa ocorreu em 22/03/2017. Em 17/07/2017 foi ajuizado processo na justiça e, após realizados parcelamentos por duas vezes sem a devida quitação, foi dado prosseguimento ao processo judicial.</w:t>
      </w:r>
    </w:p>
    <w:p w:rsidR="00A80005" w:rsidRPr="003B36FD" w:rsidRDefault="00A80005" w:rsidP="00A80005">
      <w:pPr>
        <w:autoSpaceDE w:val="0"/>
        <w:autoSpaceDN w:val="0"/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Considerando que não há previsão de término dos processos judiciais, pois dependem de acordo entre o profissional e o Conselho ou, em não havendo o pagamento, da localização de bens passíveis de penhora que possam suprir a dívida.</w:t>
      </w:r>
    </w:p>
    <w:p w:rsidR="00A80005" w:rsidRPr="003B36FD" w:rsidRDefault="00A80005" w:rsidP="00A80005">
      <w:pPr>
        <w:autoSpaceDE w:val="0"/>
        <w:autoSpaceDN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Considerando a necessidade de estabelecimento do entendimento do CAU/RS quanto ao aspecto ético da inadimplência, bem como, se for o caso, da definição de critérios para a admissão e julgamento de processos ético-disciplinares por infração ao inciso XI, do art. 18, da Lei nº 12.378/2010.</w:t>
      </w:r>
    </w:p>
    <w:p w:rsidR="00101A51" w:rsidRPr="003B36FD" w:rsidRDefault="00101A51" w:rsidP="00A80005">
      <w:pPr>
        <w:autoSpaceDE w:val="0"/>
        <w:autoSpaceDN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 xml:space="preserve">Considerando a Deliberação CED-CAU/RS nº 101/2019, que encaminhou o tema ao plenário para discussão e formação do entendimento do CAU/RS acerca da pertinência de ser analisado o aspecto ético da inadimplência de pessoas físicas e quais os critérios devem ser utilizados para admissão e julgamento de processos ético-disciplinares.  </w:t>
      </w:r>
    </w:p>
    <w:p w:rsidR="005455AE" w:rsidRPr="003B36FD" w:rsidRDefault="005455AE" w:rsidP="005455AE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0C0AF5" w:rsidRPr="003B36FD" w:rsidRDefault="000C0AF5" w:rsidP="005455AE">
      <w:pPr>
        <w:ind w:right="842"/>
        <w:jc w:val="both"/>
        <w:rPr>
          <w:rFonts w:ascii="Times New Roman" w:hAnsi="Times New Roman"/>
          <w:b/>
          <w:sz w:val="22"/>
          <w:szCs w:val="22"/>
        </w:rPr>
      </w:pPr>
      <w:r w:rsidRPr="003B36FD">
        <w:rPr>
          <w:rFonts w:ascii="Times New Roman" w:hAnsi="Times New Roman"/>
          <w:b/>
          <w:sz w:val="22"/>
          <w:szCs w:val="22"/>
        </w:rPr>
        <w:t>DELIBEROU</w:t>
      </w:r>
      <w:r w:rsidR="00101A51" w:rsidRPr="003B36FD">
        <w:rPr>
          <w:rFonts w:ascii="Times New Roman" w:hAnsi="Times New Roman"/>
          <w:b/>
          <w:sz w:val="22"/>
          <w:szCs w:val="22"/>
        </w:rPr>
        <w:t xml:space="preserve"> por</w:t>
      </w:r>
      <w:r w:rsidRPr="003B36FD">
        <w:rPr>
          <w:rFonts w:ascii="Times New Roman" w:hAnsi="Times New Roman"/>
          <w:b/>
          <w:sz w:val="22"/>
          <w:szCs w:val="22"/>
        </w:rPr>
        <w:t>:</w:t>
      </w:r>
    </w:p>
    <w:p w:rsidR="000C0AF5" w:rsidRPr="003B36FD" w:rsidRDefault="000C0AF5" w:rsidP="005455AE">
      <w:pPr>
        <w:ind w:right="275"/>
        <w:jc w:val="both"/>
        <w:rPr>
          <w:rFonts w:ascii="Times New Roman" w:hAnsi="Times New Roman"/>
          <w:b/>
          <w:sz w:val="22"/>
          <w:szCs w:val="22"/>
        </w:rPr>
      </w:pPr>
    </w:p>
    <w:p w:rsidR="00436D6D" w:rsidRPr="003B36FD" w:rsidRDefault="007F757B" w:rsidP="0027614E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 xml:space="preserve">Solicitar à Comissão de Ética e Disciplina do CAU/RS que apresente entendimento quanto a pertinência de ser analisado o aspecto ético da inadimplência de pessoas físicas, bem como os critérios para admissão e julgamento de </w:t>
      </w:r>
      <w:r w:rsidR="007D358E" w:rsidRPr="003B36FD">
        <w:rPr>
          <w:rFonts w:ascii="Times New Roman" w:hAnsi="Times New Roman"/>
          <w:sz w:val="22"/>
          <w:szCs w:val="22"/>
        </w:rPr>
        <w:t>processos ético-disciplinares;</w:t>
      </w:r>
    </w:p>
    <w:p w:rsidR="007D358E" w:rsidRPr="003B36FD" w:rsidRDefault="007D358E" w:rsidP="0027614E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 xml:space="preserve">Suspender o Processo Ético referente ao Protocolo nº 1000022390/2015, até que se tenha definição acerca dos encaminhamentos. </w:t>
      </w:r>
    </w:p>
    <w:p w:rsidR="003C0ADC" w:rsidRPr="003B36FD" w:rsidRDefault="007F757B" w:rsidP="003C0ADC">
      <w:pPr>
        <w:pStyle w:val="PargrafodaLista"/>
        <w:numPr>
          <w:ilvl w:val="0"/>
          <w:numId w:val="5"/>
        </w:numPr>
        <w:ind w:left="0" w:right="275" w:firstLine="0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 xml:space="preserve">Determinar que a </w:t>
      </w:r>
      <w:r w:rsidR="00390CC1" w:rsidRPr="003B36FD">
        <w:rPr>
          <w:rFonts w:ascii="Times New Roman" w:hAnsi="Times New Roman"/>
          <w:sz w:val="22"/>
          <w:szCs w:val="22"/>
        </w:rPr>
        <w:t xml:space="preserve">CED-CAU/RS deverá apresentar </w:t>
      </w:r>
      <w:r w:rsidRPr="003B36FD">
        <w:rPr>
          <w:rFonts w:ascii="Times New Roman" w:hAnsi="Times New Roman"/>
          <w:sz w:val="22"/>
          <w:szCs w:val="22"/>
        </w:rPr>
        <w:t>proposta ao plenário, para análise e considerações</w:t>
      </w:r>
      <w:r w:rsidR="003C0ADC" w:rsidRPr="003B36FD">
        <w:rPr>
          <w:rFonts w:ascii="Times New Roman" w:hAnsi="Times New Roman"/>
          <w:sz w:val="22"/>
          <w:szCs w:val="22"/>
        </w:rPr>
        <w:t>.</w:t>
      </w:r>
    </w:p>
    <w:p w:rsidR="00450CEC" w:rsidRPr="003B36FD" w:rsidRDefault="00450CEC" w:rsidP="00450CEC">
      <w:pPr>
        <w:pStyle w:val="PargrafodaLista"/>
        <w:ind w:left="0" w:right="275"/>
        <w:jc w:val="both"/>
        <w:rPr>
          <w:rFonts w:ascii="Times New Roman" w:hAnsi="Times New Roman"/>
          <w:sz w:val="22"/>
          <w:szCs w:val="22"/>
        </w:rPr>
      </w:pPr>
    </w:p>
    <w:p w:rsidR="00AC3370" w:rsidRPr="003B36FD" w:rsidRDefault="00AC3370" w:rsidP="00AC3370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3B36FD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C3370" w:rsidRPr="003B36FD" w:rsidRDefault="00AC3370" w:rsidP="00AC3370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AC3370" w:rsidRPr="003B36FD" w:rsidRDefault="00AC3370" w:rsidP="004568C4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4568C4" w:rsidRPr="003B36FD">
        <w:rPr>
          <w:rFonts w:ascii="Times New Roman" w:hAnsi="Times New Roman"/>
          <w:sz w:val="22"/>
          <w:szCs w:val="22"/>
          <w:lang w:eastAsia="pt-BR"/>
        </w:rPr>
        <w:t>13</w:t>
      </w:r>
      <w:r w:rsidRPr="003B36FD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4568C4" w:rsidRPr="003B36FD">
        <w:rPr>
          <w:rFonts w:ascii="Times New Roman" w:hAnsi="Times New Roman"/>
          <w:sz w:val="22"/>
          <w:szCs w:val="22"/>
          <w:lang w:eastAsia="pt-BR"/>
        </w:rPr>
        <w:t>treze</w:t>
      </w:r>
      <w:r w:rsidRPr="003B36FD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="004568C4" w:rsidRPr="003B36FD">
        <w:rPr>
          <w:rFonts w:ascii="Times New Roman" w:hAnsi="Times New Roman"/>
          <w:sz w:val="22"/>
          <w:szCs w:val="22"/>
        </w:rPr>
        <w:t>Alvino Jara, Claudio Fis</w:t>
      </w:r>
      <w:r w:rsidR="004568C4" w:rsidRPr="003B36FD">
        <w:rPr>
          <w:rFonts w:ascii="Times New Roman" w:hAnsi="Times New Roman"/>
          <w:sz w:val="22"/>
          <w:szCs w:val="22"/>
        </w:rPr>
        <w:t>cher, Helenice Macedo do Couto,</w:t>
      </w:r>
      <w:r w:rsidR="004568C4" w:rsidRPr="003B36FD">
        <w:rPr>
          <w:rFonts w:ascii="Times New Roman" w:hAnsi="Times New Roman"/>
          <w:sz w:val="22"/>
          <w:szCs w:val="22"/>
        </w:rPr>
        <w:t xml:space="preserve"> Matias Revello Vazquez, Roberta Krahe Edelweiss, Oritz Adriano Adams de Campos, Paulo Fernando do Amaral Fontana, Alexandre Couto Giorgi, Priscila Terra Quesada, Marcia Elizabeth Martins</w:t>
      </w:r>
      <w:r w:rsidR="004568C4" w:rsidRPr="003B36FD">
        <w:rPr>
          <w:rFonts w:ascii="Times New Roman" w:hAnsi="Times New Roman"/>
          <w:sz w:val="22"/>
          <w:szCs w:val="22"/>
        </w:rPr>
        <w:t xml:space="preserve">, </w:t>
      </w:r>
      <w:r w:rsidR="004568C4" w:rsidRPr="003B36FD">
        <w:rPr>
          <w:rFonts w:ascii="Times New Roman" w:hAnsi="Times New Roman"/>
          <w:sz w:val="22"/>
          <w:szCs w:val="22"/>
        </w:rPr>
        <w:t>Maurício Zuchetti, Rômulo Plentz Giralt e Rui Mineiro</w:t>
      </w:r>
      <w:r w:rsidR="004568C4" w:rsidRPr="003B36FD">
        <w:rPr>
          <w:rFonts w:ascii="Times New Roman" w:hAnsi="Times New Roman"/>
          <w:sz w:val="22"/>
          <w:szCs w:val="22"/>
        </w:rPr>
        <w:t xml:space="preserve">, 01 (uma) abstenção do Conselheiro </w:t>
      </w:r>
      <w:r w:rsidRPr="003B36FD">
        <w:rPr>
          <w:rFonts w:ascii="Times New Roman" w:hAnsi="Times New Roman"/>
          <w:sz w:val="22"/>
          <w:szCs w:val="22"/>
        </w:rPr>
        <w:t xml:space="preserve"> </w:t>
      </w:r>
      <w:r w:rsidR="004568C4" w:rsidRPr="003B36FD">
        <w:rPr>
          <w:rFonts w:ascii="Times New Roman" w:hAnsi="Times New Roman"/>
          <w:sz w:val="22"/>
          <w:szCs w:val="22"/>
        </w:rPr>
        <w:t>José Arthur Fell</w:t>
      </w:r>
      <w:r w:rsidR="004568C4" w:rsidRPr="003B36FD">
        <w:rPr>
          <w:rFonts w:ascii="Times New Roman" w:hAnsi="Times New Roman"/>
          <w:sz w:val="22"/>
          <w:szCs w:val="22"/>
        </w:rPr>
        <w:t xml:space="preserve"> </w:t>
      </w:r>
      <w:r w:rsidRPr="003B36FD">
        <w:rPr>
          <w:rFonts w:ascii="Times New Roman" w:hAnsi="Times New Roman"/>
          <w:sz w:val="22"/>
          <w:szCs w:val="22"/>
        </w:rPr>
        <w:t xml:space="preserve">e </w:t>
      </w:r>
      <w:r w:rsidR="004568C4" w:rsidRPr="003B36FD">
        <w:rPr>
          <w:rFonts w:ascii="Times New Roman" w:hAnsi="Times New Roman"/>
          <w:sz w:val="22"/>
          <w:szCs w:val="22"/>
        </w:rPr>
        <w:t>04</w:t>
      </w:r>
      <w:r w:rsidRPr="003B36FD">
        <w:rPr>
          <w:rFonts w:ascii="Times New Roman" w:hAnsi="Times New Roman"/>
          <w:sz w:val="22"/>
          <w:szCs w:val="22"/>
        </w:rPr>
        <w:t xml:space="preserve"> (</w:t>
      </w:r>
      <w:r w:rsidR="004568C4" w:rsidRPr="003B36FD">
        <w:rPr>
          <w:rFonts w:ascii="Times New Roman" w:hAnsi="Times New Roman"/>
          <w:sz w:val="22"/>
          <w:szCs w:val="22"/>
        </w:rPr>
        <w:t>quatro</w:t>
      </w:r>
      <w:r w:rsidRPr="003B36FD">
        <w:rPr>
          <w:rFonts w:ascii="Times New Roman" w:hAnsi="Times New Roman"/>
          <w:sz w:val="22"/>
          <w:szCs w:val="22"/>
        </w:rPr>
        <w:t xml:space="preserve">) ausências dos Conselheiros </w:t>
      </w:r>
      <w:r w:rsidR="004568C4" w:rsidRPr="003B36FD">
        <w:rPr>
          <w:rFonts w:ascii="Times New Roman" w:hAnsi="Times New Roman"/>
          <w:sz w:val="22"/>
          <w:szCs w:val="22"/>
        </w:rPr>
        <w:t xml:space="preserve">Carlos Fabiano Santos Pitzer, Renata Camilo Maraschin, , Rodrigo Rintzel e Jorge </w:t>
      </w:r>
      <w:proofErr w:type="spellStart"/>
      <w:r w:rsidR="004568C4" w:rsidRPr="003B36FD">
        <w:rPr>
          <w:rFonts w:ascii="Times New Roman" w:hAnsi="Times New Roman"/>
          <w:sz w:val="22"/>
          <w:szCs w:val="22"/>
        </w:rPr>
        <w:t>Luíz</w:t>
      </w:r>
      <w:proofErr w:type="spellEnd"/>
      <w:r w:rsidR="004568C4" w:rsidRPr="003B36FD">
        <w:rPr>
          <w:rFonts w:ascii="Times New Roman" w:hAnsi="Times New Roman"/>
          <w:sz w:val="22"/>
          <w:szCs w:val="22"/>
        </w:rPr>
        <w:t xml:space="preserve"> Stocker Júnior</w:t>
      </w:r>
      <w:r w:rsidRPr="003B36FD">
        <w:rPr>
          <w:rFonts w:ascii="Times New Roman" w:hAnsi="Times New Roman"/>
          <w:sz w:val="22"/>
          <w:szCs w:val="22"/>
        </w:rPr>
        <w:t>.</w:t>
      </w:r>
    </w:p>
    <w:p w:rsidR="000C0AF5" w:rsidRPr="003B36FD" w:rsidRDefault="000C0AF5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C3467" w:rsidRPr="003B36FD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3B36FD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 xml:space="preserve">Porto Alegre – RS, </w:t>
      </w:r>
      <w:r w:rsidR="00436D6D" w:rsidRPr="003B36FD">
        <w:rPr>
          <w:rFonts w:ascii="Times New Roman" w:hAnsi="Times New Roman"/>
          <w:sz w:val="22"/>
          <w:szCs w:val="22"/>
        </w:rPr>
        <w:t>29</w:t>
      </w:r>
      <w:r w:rsidR="002B2C5D" w:rsidRPr="003B36FD">
        <w:rPr>
          <w:rFonts w:ascii="Times New Roman" w:hAnsi="Times New Roman"/>
          <w:sz w:val="22"/>
          <w:szCs w:val="22"/>
        </w:rPr>
        <w:t xml:space="preserve"> de </w:t>
      </w:r>
      <w:r w:rsidR="00436D6D" w:rsidRPr="003B36FD">
        <w:rPr>
          <w:rFonts w:ascii="Times New Roman" w:hAnsi="Times New Roman"/>
          <w:sz w:val="22"/>
          <w:szCs w:val="22"/>
        </w:rPr>
        <w:t xml:space="preserve">novembro </w:t>
      </w:r>
      <w:r w:rsidR="002B2C5D" w:rsidRPr="003B36FD">
        <w:rPr>
          <w:rFonts w:ascii="Times New Roman" w:hAnsi="Times New Roman"/>
          <w:sz w:val="22"/>
          <w:szCs w:val="22"/>
        </w:rPr>
        <w:t>de 2019.</w:t>
      </w:r>
    </w:p>
    <w:p w:rsidR="00450CEC" w:rsidRPr="003B36FD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50CEC" w:rsidRPr="003B36FD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450CEC" w:rsidRPr="003B36FD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3B36FD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</w:p>
    <w:p w:rsidR="00A54A64" w:rsidRPr="003B36FD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TIAGO HOLZMANN DA SILVA</w:t>
      </w:r>
    </w:p>
    <w:p w:rsidR="00A54A64" w:rsidRPr="003B36FD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t>Presidente do CAU/RS</w:t>
      </w:r>
    </w:p>
    <w:p w:rsidR="008A7B21" w:rsidRPr="003B36FD" w:rsidRDefault="008A7B21" w:rsidP="005455AE">
      <w:pPr>
        <w:rPr>
          <w:rFonts w:ascii="Times New Roman" w:hAnsi="Times New Roman"/>
          <w:sz w:val="22"/>
          <w:szCs w:val="22"/>
        </w:rPr>
      </w:pPr>
      <w:r w:rsidRPr="003B36FD">
        <w:rPr>
          <w:rFonts w:ascii="Times New Roman" w:hAnsi="Times New Roman"/>
          <w:sz w:val="22"/>
          <w:szCs w:val="22"/>
        </w:rPr>
        <w:br w:type="page"/>
      </w:r>
    </w:p>
    <w:p w:rsidR="00E06B09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6F3487" w:rsidRDefault="00436D6D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103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6F3487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RPr="006F348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6F348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0CC1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90CC1" w:rsidRPr="003B7669" w:rsidRDefault="00390CC1" w:rsidP="00390CC1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3B7669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3B7669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90CC1" w:rsidRPr="006F3487" w:rsidRDefault="00390CC1" w:rsidP="00390CC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06B09" w:rsidRPr="006F3487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  <w:p w:rsidR="003B7669" w:rsidRPr="003B7669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</w:t>
            </w:r>
            <w:r w:rsidR="00436D6D" w:rsidRPr="003B7669">
              <w:rPr>
                <w:rFonts w:ascii="Times New Roman" w:hAnsi="Times New Roman"/>
                <w:b/>
                <w:sz w:val="20"/>
                <w:szCs w:val="22"/>
              </w:rPr>
              <w:t>O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rdinária nº </w:t>
            </w:r>
            <w:r w:rsidR="00436D6D" w:rsidRPr="003B7669">
              <w:rPr>
                <w:rFonts w:ascii="Times New Roman" w:hAnsi="Times New Roman"/>
                <w:b/>
                <w:sz w:val="20"/>
                <w:szCs w:val="22"/>
              </w:rPr>
              <w:t>103</w:t>
            </w:r>
          </w:p>
          <w:p w:rsidR="003B7669" w:rsidRPr="003B7669" w:rsidRDefault="003B7669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436D6D" w:rsidRPr="003B7669">
              <w:rPr>
                <w:rFonts w:ascii="Times New Roman" w:hAnsi="Times New Roman"/>
                <w:b/>
                <w:sz w:val="20"/>
                <w:szCs w:val="22"/>
              </w:rPr>
              <w:t>29/11</w:t>
            </w:r>
            <w:r w:rsidR="00487979" w:rsidRPr="003B7669">
              <w:rPr>
                <w:rFonts w:ascii="Times New Roman" w:hAnsi="Times New Roman"/>
                <w:b/>
                <w:sz w:val="20"/>
                <w:szCs w:val="22"/>
              </w:rPr>
              <w:t>/2019</w:t>
            </w:r>
          </w:p>
          <w:p w:rsidR="003B7669" w:rsidRPr="003B7669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871D0C" w:rsidRPr="00871D0C" w:rsidRDefault="000C3467" w:rsidP="00871D0C">
            <w:pPr>
              <w:rPr>
                <w:rFonts w:ascii="Times New Roman" w:hAnsi="Times New Roman"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3B36FD">
              <w:rPr>
                <w:rFonts w:ascii="Times New Roman" w:hAnsi="Times New Roman"/>
                <w:b/>
                <w:sz w:val="20"/>
                <w:szCs w:val="22"/>
              </w:rPr>
              <w:t>DPO-RS 1101</w:t>
            </w:r>
            <w:r w:rsidR="003B7669">
              <w:rPr>
                <w:rFonts w:ascii="Times New Roman" w:hAnsi="Times New Roman"/>
                <w:b/>
                <w:sz w:val="20"/>
                <w:szCs w:val="22"/>
              </w:rPr>
              <w:t xml:space="preserve">/2019 - </w:t>
            </w:r>
            <w:r w:rsidR="003B36FD" w:rsidRPr="003B36FD">
              <w:rPr>
                <w:rFonts w:ascii="Times New Roman" w:hAnsi="Times New Roman"/>
                <w:sz w:val="20"/>
                <w:szCs w:val="22"/>
              </w:rPr>
              <w:t>Homologa encaminhamento quanto a necessidade de entendimento relativo ao aspecto ético da inadimplência de profissionais pela Comissão de Ética e Disciplina do CAU/RS.</w:t>
            </w:r>
            <w:bookmarkStart w:id="0" w:name="_GoBack"/>
            <w:bookmarkEnd w:id="0"/>
          </w:p>
          <w:p w:rsidR="000C3467" w:rsidRPr="003B7669" w:rsidRDefault="000C3467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390CC1">
              <w:rPr>
                <w:rFonts w:ascii="Times New Roman" w:hAnsi="Times New Roman"/>
                <w:sz w:val="20"/>
                <w:szCs w:val="22"/>
              </w:rPr>
              <w:t>13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390CC1">
              <w:rPr>
                <w:rFonts w:ascii="Times New Roman" w:hAnsi="Times New Roman"/>
                <w:sz w:val="20"/>
                <w:szCs w:val="22"/>
              </w:rPr>
              <w:t>01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390CC1">
              <w:rPr>
                <w:rFonts w:ascii="Times New Roman" w:hAnsi="Times New Roman"/>
                <w:sz w:val="20"/>
                <w:szCs w:val="22"/>
              </w:rPr>
              <w:t>04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390CC1">
              <w:rPr>
                <w:rFonts w:ascii="Times New Roman" w:hAnsi="Times New Roman"/>
                <w:sz w:val="20"/>
                <w:szCs w:val="22"/>
              </w:rPr>
              <w:t>18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)</w:t>
            </w:r>
          </w:p>
          <w:p w:rsidR="003B7669" w:rsidRPr="003B7669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  <w:p w:rsidR="003B7669" w:rsidRPr="003B7669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3B7669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3B7669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3B7669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E06B09" w:rsidRPr="006F3487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83" w:rsidRDefault="00AF3A83">
      <w:r>
        <w:separator/>
      </w:r>
    </w:p>
  </w:endnote>
  <w:endnote w:type="continuationSeparator" w:id="0">
    <w:p w:rsidR="00AF3A83" w:rsidRDefault="00A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83" w:rsidRDefault="00AF3A83">
      <w:r>
        <w:separator/>
      </w:r>
    </w:p>
  </w:footnote>
  <w:footnote w:type="continuationSeparator" w:id="0">
    <w:p w:rsidR="00AF3A83" w:rsidRDefault="00AF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C56CE"/>
    <w:rsid w:val="000F689F"/>
    <w:rsid w:val="00101A51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0CC1"/>
    <w:rsid w:val="003927D8"/>
    <w:rsid w:val="00397CFD"/>
    <w:rsid w:val="003A7CFA"/>
    <w:rsid w:val="003B1803"/>
    <w:rsid w:val="003B36FD"/>
    <w:rsid w:val="003B7669"/>
    <w:rsid w:val="003C0ADC"/>
    <w:rsid w:val="003D5EB0"/>
    <w:rsid w:val="003E02B1"/>
    <w:rsid w:val="004019D1"/>
    <w:rsid w:val="00403143"/>
    <w:rsid w:val="00406458"/>
    <w:rsid w:val="004349D7"/>
    <w:rsid w:val="00436D6D"/>
    <w:rsid w:val="00450CEC"/>
    <w:rsid w:val="004568C4"/>
    <w:rsid w:val="00465302"/>
    <w:rsid w:val="004714FB"/>
    <w:rsid w:val="00487979"/>
    <w:rsid w:val="00491AA4"/>
    <w:rsid w:val="00492867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455AE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4CBF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D358E"/>
    <w:rsid w:val="007F5BAC"/>
    <w:rsid w:val="007F757B"/>
    <w:rsid w:val="00805A4C"/>
    <w:rsid w:val="008115D6"/>
    <w:rsid w:val="0084303C"/>
    <w:rsid w:val="00845205"/>
    <w:rsid w:val="0084734D"/>
    <w:rsid w:val="00852EC9"/>
    <w:rsid w:val="00871D0C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5691"/>
    <w:rsid w:val="0099031C"/>
    <w:rsid w:val="009976BE"/>
    <w:rsid w:val="009A77F2"/>
    <w:rsid w:val="009B393D"/>
    <w:rsid w:val="009D1E5F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80005"/>
    <w:rsid w:val="00AA6FA9"/>
    <w:rsid w:val="00AB2D89"/>
    <w:rsid w:val="00AC3370"/>
    <w:rsid w:val="00AC7399"/>
    <w:rsid w:val="00AF3329"/>
    <w:rsid w:val="00AF3A83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77139"/>
    <w:rsid w:val="00C92ED9"/>
    <w:rsid w:val="00CA42DC"/>
    <w:rsid w:val="00CA60C6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860B1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E233-AC78-4A56-A3B3-161C2E82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</Pages>
  <Words>864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47</cp:revision>
  <cp:lastPrinted>2019-12-09T17:21:00Z</cp:lastPrinted>
  <dcterms:created xsi:type="dcterms:W3CDTF">2017-09-18T19:12:00Z</dcterms:created>
  <dcterms:modified xsi:type="dcterms:W3CDTF">2019-12-09T17:22:00Z</dcterms:modified>
</cp:coreProperties>
</file>