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923054" w:rsidRPr="006F3487" w:rsidTr="00A14557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8F1F4D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23054" w:rsidRPr="006F3487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923054" w:rsidRPr="00923054" w:rsidRDefault="00D860B1" w:rsidP="00450C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676897/2018</w:t>
            </w:r>
          </w:p>
        </w:tc>
      </w:tr>
      <w:tr w:rsidR="00D860B1" w:rsidRPr="006F3487" w:rsidTr="00A14557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860B1" w:rsidRPr="006F3487" w:rsidRDefault="00D860B1" w:rsidP="00D860B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D860B1" w:rsidRPr="00D860B1" w:rsidRDefault="00D860B1" w:rsidP="00704CBF">
            <w:pPr>
              <w:rPr>
                <w:rFonts w:ascii="Times New Roman" w:hAnsi="Times New Roman"/>
                <w:sz w:val="22"/>
                <w:szCs w:val="22"/>
              </w:rPr>
            </w:pPr>
            <w:r w:rsidRPr="00D860B1">
              <w:rPr>
                <w:rFonts w:ascii="Times New Roman" w:hAnsi="Times New Roman"/>
                <w:sz w:val="22"/>
                <w:szCs w:val="22"/>
              </w:rPr>
              <w:t>C</w:t>
            </w:r>
            <w:r w:rsidR="00704CBF">
              <w:rPr>
                <w:rFonts w:ascii="Times New Roman" w:hAnsi="Times New Roman"/>
                <w:sz w:val="22"/>
                <w:szCs w:val="22"/>
              </w:rPr>
              <w:t>.</w:t>
            </w:r>
            <w:r w:rsidRPr="00D860B1">
              <w:rPr>
                <w:rFonts w:ascii="Times New Roman" w:hAnsi="Times New Roman"/>
                <w:sz w:val="22"/>
                <w:szCs w:val="22"/>
              </w:rPr>
              <w:t xml:space="preserve"> F</w:t>
            </w:r>
            <w:r w:rsidR="00704CB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860B1" w:rsidRPr="006F3487" w:rsidTr="00A14557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860B1" w:rsidRPr="006F3487" w:rsidRDefault="00D860B1" w:rsidP="00D860B1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D860B1" w:rsidRPr="00D860B1" w:rsidRDefault="00D860B1" w:rsidP="00704CBF">
            <w:pPr>
              <w:rPr>
                <w:rFonts w:ascii="Times New Roman" w:hAnsi="Times New Roman"/>
                <w:sz w:val="22"/>
                <w:szCs w:val="22"/>
              </w:rPr>
            </w:pPr>
            <w:r w:rsidRPr="00D860B1">
              <w:rPr>
                <w:rFonts w:ascii="Times New Roman" w:hAnsi="Times New Roman"/>
                <w:sz w:val="22"/>
                <w:szCs w:val="22"/>
              </w:rPr>
              <w:t>G</w:t>
            </w:r>
            <w:r w:rsidR="00704CBF">
              <w:rPr>
                <w:rFonts w:ascii="Times New Roman" w:hAnsi="Times New Roman"/>
                <w:sz w:val="22"/>
                <w:szCs w:val="22"/>
              </w:rPr>
              <w:t>.</w:t>
            </w:r>
            <w:r w:rsidRPr="00D860B1">
              <w:rPr>
                <w:rFonts w:ascii="Times New Roman" w:hAnsi="Times New Roman"/>
                <w:sz w:val="22"/>
                <w:szCs w:val="22"/>
              </w:rPr>
              <w:t xml:space="preserve"> T</w:t>
            </w:r>
            <w:r w:rsidR="00704CBF">
              <w:rPr>
                <w:rFonts w:ascii="Times New Roman" w:hAnsi="Times New Roman"/>
                <w:sz w:val="22"/>
                <w:szCs w:val="22"/>
              </w:rPr>
              <w:t>.</w:t>
            </w:r>
            <w:r w:rsidRPr="00D860B1">
              <w:rPr>
                <w:rFonts w:ascii="Times New Roman" w:hAnsi="Times New Roman"/>
                <w:sz w:val="22"/>
                <w:szCs w:val="22"/>
              </w:rPr>
              <w:t xml:space="preserve"> de C</w:t>
            </w:r>
            <w:r w:rsidR="00704CB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99031C" w:rsidRPr="006F3487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D860B1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29/11/2019</w:t>
            </w:r>
          </w:p>
        </w:tc>
      </w:tr>
      <w:tr w:rsidR="0099031C" w:rsidRPr="006F3487" w:rsidTr="00FB5050">
        <w:trPr>
          <w:gridAfter w:val="1"/>
          <w:wAfter w:w="25" w:type="dxa"/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D860B1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JULGAMENTO DE RECURSO DA INADMISSÃO DA DENÚNCIA</w:t>
            </w:r>
          </w:p>
        </w:tc>
      </w:tr>
      <w:tr w:rsidR="0099031C" w:rsidRPr="006F3487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7A5EB5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99031C" w:rsidRPr="006F3487" w:rsidTr="00A54A64">
        <w:trPr>
          <w:trHeight w:hRule="exact" w:val="312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6F3487" w:rsidRDefault="0099031C" w:rsidP="00450CEC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DELIBERAÇÃO PLENÁRIA DP</w:t>
            </w:r>
            <w:r w:rsidR="00436D6D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C124BD" w:rsidRPr="006F3487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 xml:space="preserve"> Nº</w:t>
            </w:r>
            <w:r w:rsidR="00450CEC">
              <w:rPr>
                <w:rFonts w:ascii="Times New Roman" w:hAnsi="Times New Roman"/>
                <w:b/>
                <w:sz w:val="22"/>
                <w:szCs w:val="22"/>
              </w:rPr>
              <w:t xml:space="preserve"> 1100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7A5EB5">
              <w:rPr>
                <w:rFonts w:ascii="Times New Roman" w:hAnsi="Times New Roman"/>
                <w:b/>
                <w:sz w:val="22"/>
                <w:szCs w:val="22"/>
              </w:rPr>
              <w:t>9</w:t>
            </w:r>
          </w:p>
        </w:tc>
      </w:tr>
    </w:tbl>
    <w:p w:rsidR="00CB5759" w:rsidRDefault="00CB5759" w:rsidP="005455AE">
      <w:pPr>
        <w:ind w:right="275"/>
        <w:jc w:val="both"/>
        <w:rPr>
          <w:rFonts w:ascii="Times New Roman" w:hAnsi="Times New Roman"/>
          <w:b/>
        </w:rPr>
      </w:pPr>
    </w:p>
    <w:p w:rsidR="00D81D9A" w:rsidRPr="00450CEC" w:rsidRDefault="0099031C" w:rsidP="005455AE">
      <w:pPr>
        <w:ind w:left="4536" w:right="275"/>
        <w:jc w:val="both"/>
        <w:rPr>
          <w:rFonts w:ascii="Times New Roman" w:hAnsi="Times New Roman"/>
          <w:sz w:val="20"/>
          <w:szCs w:val="20"/>
        </w:rPr>
      </w:pPr>
      <w:r w:rsidRPr="00450CEC">
        <w:rPr>
          <w:rFonts w:ascii="Times New Roman" w:hAnsi="Times New Roman"/>
          <w:sz w:val="20"/>
          <w:szCs w:val="20"/>
        </w:rPr>
        <w:t>Aprova o relatório e o voto</w:t>
      </w:r>
      <w:r w:rsidR="00436D6D" w:rsidRPr="00450CEC">
        <w:rPr>
          <w:rFonts w:ascii="Times New Roman" w:hAnsi="Times New Roman"/>
          <w:sz w:val="20"/>
          <w:szCs w:val="20"/>
        </w:rPr>
        <w:t xml:space="preserve"> fundamentado</w:t>
      </w:r>
      <w:r w:rsidRPr="00450CEC">
        <w:rPr>
          <w:rFonts w:ascii="Times New Roman" w:hAnsi="Times New Roman"/>
          <w:sz w:val="20"/>
          <w:szCs w:val="20"/>
        </w:rPr>
        <w:t xml:space="preserve"> </w:t>
      </w:r>
      <w:r w:rsidR="000021D8" w:rsidRPr="00450CEC">
        <w:rPr>
          <w:rFonts w:ascii="Times New Roman" w:hAnsi="Times New Roman"/>
          <w:sz w:val="20"/>
          <w:szCs w:val="20"/>
        </w:rPr>
        <w:t>do Conselheiro Relator,</w:t>
      </w:r>
      <w:r w:rsidR="008A7B21" w:rsidRPr="00450CEC">
        <w:rPr>
          <w:rFonts w:ascii="Times New Roman" w:hAnsi="Times New Roman"/>
          <w:sz w:val="20"/>
          <w:szCs w:val="20"/>
        </w:rPr>
        <w:t xml:space="preserve"> nos autos do protocolo nº </w:t>
      </w:r>
      <w:r w:rsidR="00D860B1" w:rsidRPr="00450CEC">
        <w:rPr>
          <w:rFonts w:ascii="Times New Roman" w:hAnsi="Times New Roman"/>
          <w:sz w:val="20"/>
          <w:szCs w:val="20"/>
        </w:rPr>
        <w:t>676.897/2018</w:t>
      </w:r>
      <w:r w:rsidR="003A7CFA" w:rsidRPr="00450CEC">
        <w:rPr>
          <w:rFonts w:ascii="Times New Roman" w:hAnsi="Times New Roman"/>
          <w:sz w:val="20"/>
          <w:szCs w:val="20"/>
        </w:rPr>
        <w:t>,</w:t>
      </w:r>
      <w:r w:rsidR="00EA3682" w:rsidRPr="00450CEC">
        <w:rPr>
          <w:rFonts w:ascii="Times New Roman" w:hAnsi="Times New Roman"/>
          <w:sz w:val="20"/>
          <w:szCs w:val="20"/>
        </w:rPr>
        <w:t xml:space="preserve"> </w:t>
      </w:r>
      <w:r w:rsidR="00D860B1" w:rsidRPr="00450CEC">
        <w:rPr>
          <w:rFonts w:ascii="Times New Roman" w:hAnsi="Times New Roman"/>
          <w:sz w:val="20"/>
          <w:szCs w:val="20"/>
        </w:rPr>
        <w:t>pela manutenção da decisão recorrida de arquivamento liminar, conforme aprovado pela</w:t>
      </w:r>
      <w:r w:rsidR="00C77139" w:rsidRPr="00450CEC">
        <w:rPr>
          <w:rFonts w:ascii="Times New Roman" w:hAnsi="Times New Roman"/>
          <w:sz w:val="20"/>
          <w:szCs w:val="20"/>
        </w:rPr>
        <w:t xml:space="preserve"> </w:t>
      </w:r>
      <w:r w:rsidR="00C77139" w:rsidRPr="00450CEC">
        <w:rPr>
          <w:rFonts w:ascii="Times New Roman" w:eastAsiaTheme="minorEastAsia" w:hAnsi="Times New Roman"/>
          <w:color w:val="000000" w:themeColor="text1"/>
          <w:sz w:val="20"/>
          <w:szCs w:val="20"/>
          <w:lang w:eastAsia="pt-BR"/>
        </w:rPr>
        <w:t>Deliberação CED-CAU/RS nº 0</w:t>
      </w:r>
      <w:r w:rsidR="00D860B1" w:rsidRPr="00450CEC">
        <w:rPr>
          <w:rFonts w:ascii="Times New Roman" w:eastAsiaTheme="minorEastAsia" w:hAnsi="Times New Roman"/>
          <w:color w:val="000000" w:themeColor="text1"/>
          <w:sz w:val="20"/>
          <w:szCs w:val="20"/>
          <w:lang w:eastAsia="pt-BR"/>
        </w:rPr>
        <w:t>32/2019</w:t>
      </w:r>
      <w:r w:rsidR="00D81D9A" w:rsidRPr="00450CEC">
        <w:rPr>
          <w:rFonts w:ascii="Times New Roman" w:hAnsi="Times New Roman"/>
          <w:sz w:val="20"/>
          <w:szCs w:val="20"/>
        </w:rPr>
        <w:t>.</w:t>
      </w:r>
    </w:p>
    <w:p w:rsidR="00D75010" w:rsidRDefault="00D75010" w:rsidP="005455AE">
      <w:pPr>
        <w:ind w:left="4536" w:right="275"/>
        <w:jc w:val="both"/>
        <w:rPr>
          <w:rFonts w:ascii="Times New Roman" w:hAnsi="Times New Roman"/>
          <w:sz w:val="20"/>
        </w:rPr>
      </w:pPr>
    </w:p>
    <w:p w:rsidR="00D75010" w:rsidRDefault="00D75010" w:rsidP="005455AE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 w:rsidR="00E4654E"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 w:rsidR="00E4654E"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>, do Regimento Interno do CAU/RS</w:t>
      </w:r>
      <w:r w:rsidR="00450CEC" w:rsidRPr="00450CEC">
        <w:rPr>
          <w:rFonts w:ascii="Times New Roman" w:hAnsi="Times New Roman"/>
          <w:sz w:val="22"/>
        </w:rPr>
        <w:t xml:space="preserve"> </w:t>
      </w:r>
      <w:r w:rsidR="00450CEC" w:rsidRPr="00CF010E">
        <w:rPr>
          <w:rFonts w:ascii="Times New Roman" w:hAnsi="Times New Roman"/>
          <w:sz w:val="22"/>
        </w:rPr>
        <w:t xml:space="preserve">reunido ordinariamente </w:t>
      </w:r>
      <w:r w:rsidR="00450CEC">
        <w:rPr>
          <w:rFonts w:ascii="Times New Roman" w:hAnsi="Times New Roman"/>
          <w:sz w:val="22"/>
        </w:rPr>
        <w:t xml:space="preserve">no </w:t>
      </w:r>
      <w:r w:rsidR="00450CEC" w:rsidRPr="002D79DE">
        <w:rPr>
          <w:rFonts w:ascii="Times New Roman" w:hAnsi="Times New Roman"/>
          <w:sz w:val="22"/>
        </w:rPr>
        <w:t>Salão de Eventos</w:t>
      </w:r>
      <w:r w:rsidR="00450CEC">
        <w:rPr>
          <w:rFonts w:ascii="Times New Roman" w:hAnsi="Times New Roman"/>
          <w:sz w:val="22"/>
        </w:rPr>
        <w:t xml:space="preserve"> do Moinho Office, localizado à </w:t>
      </w:r>
      <w:r w:rsidR="00450CEC" w:rsidRPr="002D79DE">
        <w:rPr>
          <w:rFonts w:ascii="Times New Roman" w:hAnsi="Times New Roman"/>
          <w:sz w:val="22"/>
        </w:rPr>
        <w:t>Av. Dom Joaquim, 1515</w:t>
      </w:r>
      <w:r w:rsidR="00450CEC">
        <w:rPr>
          <w:rFonts w:ascii="Times New Roman" w:hAnsi="Times New Roman"/>
          <w:sz w:val="22"/>
        </w:rPr>
        <w:t>, no bairro</w:t>
      </w:r>
      <w:r w:rsidR="00450CEC" w:rsidRPr="002D79DE">
        <w:rPr>
          <w:rFonts w:ascii="Times New Roman" w:hAnsi="Times New Roman"/>
          <w:sz w:val="22"/>
        </w:rPr>
        <w:t xml:space="preserve"> Tres Vendas</w:t>
      </w:r>
      <w:r w:rsidR="00450CEC">
        <w:rPr>
          <w:rFonts w:ascii="Times New Roman" w:hAnsi="Times New Roman"/>
          <w:sz w:val="22"/>
        </w:rPr>
        <w:t xml:space="preserve"> em Pelotas - </w:t>
      </w:r>
      <w:r w:rsidR="00450CEC" w:rsidRPr="002D79DE">
        <w:rPr>
          <w:rFonts w:ascii="Times New Roman" w:hAnsi="Times New Roman"/>
          <w:sz w:val="22"/>
        </w:rPr>
        <w:t>RS</w:t>
      </w:r>
      <w:r w:rsidR="00450CEC">
        <w:rPr>
          <w:rFonts w:ascii="Times New Roman" w:hAnsi="Times New Roman"/>
          <w:sz w:val="22"/>
        </w:rPr>
        <w:t>, no dia 29 de novembro de 2019</w:t>
      </w:r>
      <w:r w:rsidR="00450CEC" w:rsidRPr="00CF010E">
        <w:rPr>
          <w:rFonts w:ascii="Times New Roman" w:hAnsi="Times New Roman"/>
          <w:sz w:val="22"/>
        </w:rPr>
        <w:t>;</w:t>
      </w:r>
    </w:p>
    <w:p w:rsidR="00450CEC" w:rsidRDefault="00450CEC" w:rsidP="005455AE">
      <w:pPr>
        <w:ind w:right="275"/>
        <w:jc w:val="both"/>
        <w:rPr>
          <w:rFonts w:ascii="Times New Roman" w:hAnsi="Times New Roman"/>
          <w:sz w:val="22"/>
        </w:rPr>
      </w:pPr>
    </w:p>
    <w:p w:rsidR="005455AE" w:rsidRPr="009C34C8" w:rsidRDefault="005455AE" w:rsidP="00D860B1">
      <w:pPr>
        <w:spacing w:after="100" w:afterAutospacing="1"/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o</w:t>
      </w:r>
      <w:r w:rsidRPr="000C56CE">
        <w:rPr>
          <w:rFonts w:ascii="Times New Roman" w:eastAsiaTheme="minorEastAsia" w:hAnsi="Times New Roman"/>
          <w:sz w:val="22"/>
          <w:szCs w:val="22"/>
          <w:lang w:eastAsia="pt-BR"/>
        </w:rPr>
        <w:t xml:space="preserve">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>disposto no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art.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22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5455AE" w:rsidRPr="000C56CE" w:rsidRDefault="005455AE" w:rsidP="005455AE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0C56CE">
        <w:rPr>
          <w:rFonts w:ascii="Times New Roman" w:hAnsi="Times New Roman"/>
          <w:sz w:val="20"/>
          <w:szCs w:val="20"/>
        </w:rPr>
        <w:t>Art. 22. Não acatada a denúncia pela CED/UF, o denunciante deverá ser intimado da decisão e dos motivos da determinação do arquivamento liminar.</w:t>
      </w:r>
    </w:p>
    <w:p w:rsidR="005455AE" w:rsidRPr="000C56CE" w:rsidRDefault="005455AE" w:rsidP="005455AE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0C56CE">
        <w:rPr>
          <w:rFonts w:ascii="Times New Roman" w:hAnsi="Times New Roman"/>
          <w:sz w:val="20"/>
          <w:szCs w:val="20"/>
        </w:rPr>
        <w:t>§ 1° Da decisão de não acatamento da denúncia caberá recurso ao Plenário do CAU/UF, no prazo de 10 (dez) dias, que deverá ser apresentado por intermédio da CED/UF.</w:t>
      </w:r>
    </w:p>
    <w:p w:rsidR="005455AE" w:rsidRPr="000C56CE" w:rsidRDefault="005455AE" w:rsidP="00CB15C6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0C56CE">
        <w:rPr>
          <w:rFonts w:ascii="Times New Roman" w:hAnsi="Times New Roman"/>
          <w:sz w:val="20"/>
          <w:szCs w:val="20"/>
        </w:rPr>
        <w:t>§ 2° Caso a CED/UF não reconsidere sua decisão, deverá encaminhar o recurso ao Plenário do CAU/UF, que decidirá pela manutenção da decisão recorrida de arquivamento liminar ou pela determinação do acatamento da denúncia.</w:t>
      </w: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</w:t>
      </w:r>
      <w:r>
        <w:rPr>
          <w:rFonts w:ascii="Times New Roman" w:hAnsi="Times New Roman"/>
          <w:sz w:val="22"/>
        </w:rPr>
        <w:t xml:space="preserve">siderando as provas existentes no processo nº </w:t>
      </w:r>
      <w:r w:rsidR="00D860B1">
        <w:rPr>
          <w:rFonts w:ascii="Times New Roman" w:hAnsi="Times New Roman"/>
          <w:sz w:val="22"/>
          <w:szCs w:val="22"/>
        </w:rPr>
        <w:t>676.897/2018</w:t>
      </w:r>
      <w:r w:rsidRPr="00CF010E">
        <w:rPr>
          <w:rFonts w:ascii="Times New Roman" w:hAnsi="Times New Roman"/>
          <w:sz w:val="22"/>
        </w:rPr>
        <w:t>;</w:t>
      </w: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Considerando que o relator, Conselheiro Maurício Zuchetti, em seu parecer de admissibilidade, apresentou argumentos </w:t>
      </w:r>
      <w:r w:rsidR="00D860B1">
        <w:rPr>
          <w:rFonts w:ascii="Times New Roman" w:hAnsi="Times New Roman"/>
          <w:sz w:val="22"/>
        </w:rPr>
        <w:t>a respeito</w:t>
      </w:r>
      <w:r>
        <w:rPr>
          <w:rFonts w:ascii="Times New Roman" w:hAnsi="Times New Roman"/>
          <w:sz w:val="22"/>
        </w:rPr>
        <w:t xml:space="preserve"> da </w:t>
      </w:r>
      <w:r w:rsidR="00D860B1">
        <w:rPr>
          <w:rFonts w:ascii="Times New Roman" w:hAnsi="Times New Roman"/>
          <w:sz w:val="22"/>
        </w:rPr>
        <w:t>ocorrência da prescrição da pretensão punitiva acerca dos fatos denunciados</w:t>
      </w:r>
      <w:r>
        <w:rPr>
          <w:rFonts w:ascii="Times New Roman" w:hAnsi="Times New Roman"/>
          <w:sz w:val="22"/>
        </w:rPr>
        <w:t xml:space="preserve"> (fls. </w:t>
      </w:r>
      <w:r w:rsidR="00D860B1">
        <w:rPr>
          <w:rFonts w:ascii="Times New Roman" w:hAnsi="Times New Roman"/>
          <w:sz w:val="22"/>
        </w:rPr>
        <w:t>75/76</w:t>
      </w:r>
      <w:r>
        <w:rPr>
          <w:rFonts w:ascii="Times New Roman" w:hAnsi="Times New Roman"/>
          <w:sz w:val="22"/>
        </w:rPr>
        <w:t>).</w:t>
      </w: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</w:p>
    <w:p w:rsidR="005455AE" w:rsidRPr="00CF010E" w:rsidRDefault="005455AE" w:rsidP="00CB15C6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>
        <w:rPr>
          <w:rFonts w:ascii="Times New Roman" w:hAnsi="Times New Roman"/>
          <w:sz w:val="22"/>
        </w:rPr>
        <w:t xml:space="preserve">Considerando que a 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Comissão de Ética e Disciplina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por meio da Deliberação nº </w:t>
      </w:r>
      <w:r w:rsidR="00D860B1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032/2019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aprovou, de forma unânime,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o não acatamento da denúncia (fl. </w:t>
      </w:r>
      <w:r w:rsidR="00D860B1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88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).</w:t>
      </w: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Considerando que a parte denunciante apresentou recurso ao Plenário do CAU/RS, por intermédio da CED-CAU/RS (fls. </w:t>
      </w:r>
      <w:r w:rsidR="00D860B1">
        <w:rPr>
          <w:rFonts w:ascii="Times New Roman" w:hAnsi="Times New Roman"/>
          <w:sz w:val="22"/>
        </w:rPr>
        <w:t>90/95</w:t>
      </w:r>
      <w:r>
        <w:rPr>
          <w:rFonts w:ascii="Times New Roman" w:hAnsi="Times New Roman"/>
          <w:sz w:val="22"/>
        </w:rPr>
        <w:t>).</w:t>
      </w: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</w:p>
    <w:p w:rsidR="005455AE" w:rsidRDefault="005455AE" w:rsidP="005455AE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Considerando </w:t>
      </w:r>
      <w:r>
        <w:rPr>
          <w:rFonts w:ascii="Times New Roman" w:hAnsi="Times New Roman"/>
          <w:sz w:val="22"/>
        </w:rPr>
        <w:t xml:space="preserve">que o relator, Conselheiro Maurício Zuchetti, em seu relatório e </w:t>
      </w:r>
      <w:r w:rsidRPr="00CF010E">
        <w:rPr>
          <w:rFonts w:ascii="Times New Roman" w:hAnsi="Times New Roman"/>
          <w:sz w:val="22"/>
        </w:rPr>
        <w:t>voto</w:t>
      </w:r>
      <w:r w:rsidR="00436D6D">
        <w:rPr>
          <w:rFonts w:ascii="Times New Roman" w:hAnsi="Times New Roman"/>
          <w:sz w:val="22"/>
        </w:rPr>
        <w:t xml:space="preserve"> </w:t>
      </w:r>
      <w:r w:rsidR="00436D6D" w:rsidRPr="00923054">
        <w:rPr>
          <w:rFonts w:ascii="Times New Roman" w:hAnsi="Times New Roman"/>
          <w:sz w:val="22"/>
        </w:rPr>
        <w:t xml:space="preserve">fundamentado </w:t>
      </w:r>
      <w:r w:rsidR="00436D6D">
        <w:rPr>
          <w:rFonts w:ascii="Times New Roman" w:hAnsi="Times New Roman"/>
          <w:sz w:val="22"/>
        </w:rPr>
        <w:t>acerca do recurso da inadmissão</w:t>
      </w:r>
      <w:r>
        <w:rPr>
          <w:rFonts w:ascii="Times New Roman" w:hAnsi="Times New Roman"/>
          <w:sz w:val="22"/>
        </w:rPr>
        <w:t>,</w:t>
      </w:r>
      <w:r w:rsidRPr="00487979">
        <w:rPr>
          <w:rFonts w:ascii="Times New Roman" w:hAnsi="Times New Roman"/>
          <w:sz w:val="22"/>
        </w:rPr>
        <w:t xml:space="preserve"> opinou </w:t>
      </w:r>
      <w:r>
        <w:rPr>
          <w:rFonts w:ascii="Times New Roman" w:hAnsi="Times New Roman"/>
          <w:sz w:val="22"/>
        </w:rPr>
        <w:t xml:space="preserve">pela manutenção da decisão de </w:t>
      </w:r>
      <w:r w:rsidR="00D860B1">
        <w:rPr>
          <w:rFonts w:ascii="Times New Roman" w:hAnsi="Times New Roman"/>
          <w:sz w:val="22"/>
        </w:rPr>
        <w:t>não acatamento da denúncia</w:t>
      </w:r>
      <w:r w:rsidR="009976BE">
        <w:rPr>
          <w:rFonts w:ascii="Times New Roman" w:hAnsi="Times New Roman"/>
          <w:sz w:val="22"/>
        </w:rPr>
        <w:t xml:space="preserve"> e extinção do processo, com fulcro nos incisos III e IV, do art. 113, da Resolução CAU/BR nº 143/2017</w:t>
      </w:r>
      <w:r w:rsidR="00D860B1">
        <w:rPr>
          <w:rFonts w:ascii="Times New Roman" w:hAnsi="Times New Roman"/>
          <w:sz w:val="22"/>
        </w:rPr>
        <w:t xml:space="preserve">, </w:t>
      </w:r>
      <w:r w:rsidR="009976BE">
        <w:rPr>
          <w:rFonts w:ascii="Times New Roman" w:hAnsi="Times New Roman"/>
          <w:sz w:val="22"/>
        </w:rPr>
        <w:t>uma vez que foi reiterada a determinação da prescrição da pretensão punitiva, observada a data do suposto fato (fl. 115</w:t>
      </w:r>
      <w:r>
        <w:rPr>
          <w:rFonts w:ascii="Times New Roman" w:hAnsi="Times New Roman"/>
          <w:sz w:val="22"/>
        </w:rPr>
        <w:t>)</w:t>
      </w:r>
      <w:r w:rsidRPr="00923054">
        <w:rPr>
          <w:rFonts w:ascii="Times New Roman" w:hAnsi="Times New Roman"/>
          <w:sz w:val="22"/>
        </w:rPr>
        <w:t>;</w:t>
      </w:r>
    </w:p>
    <w:p w:rsidR="005455AE" w:rsidRPr="003E02B1" w:rsidRDefault="005455AE" w:rsidP="005455AE">
      <w:pPr>
        <w:ind w:right="275"/>
        <w:jc w:val="both"/>
        <w:rPr>
          <w:rFonts w:ascii="Times New Roman" w:hAnsi="Times New Roman"/>
          <w:sz w:val="22"/>
        </w:rPr>
      </w:pPr>
    </w:p>
    <w:p w:rsidR="005455AE" w:rsidRPr="00CF010E" w:rsidRDefault="005455AE" w:rsidP="005455AE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por meio da Deliberação nº </w:t>
      </w:r>
      <w:r w:rsidR="00436D6D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125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 w:rsidR="00436D6D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9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mantendo a decisão de não acatamento da denúncia, conforme Deliberação CED-CAU/RS nº </w:t>
      </w:r>
      <w:r w:rsidR="00436D6D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032/2019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;</w:t>
      </w:r>
    </w:p>
    <w:p w:rsidR="005455AE" w:rsidRPr="003E02B1" w:rsidRDefault="005455AE" w:rsidP="005455AE">
      <w:pPr>
        <w:ind w:right="275"/>
        <w:jc w:val="both"/>
        <w:rPr>
          <w:rFonts w:ascii="Times New Roman" w:hAnsi="Times New Roman"/>
          <w:sz w:val="22"/>
        </w:rPr>
      </w:pPr>
    </w:p>
    <w:p w:rsidR="000C0AF5" w:rsidRPr="00CF010E" w:rsidRDefault="000C0AF5" w:rsidP="005455AE">
      <w:pPr>
        <w:ind w:right="842"/>
        <w:jc w:val="both"/>
        <w:rPr>
          <w:rFonts w:ascii="Times New Roman" w:hAnsi="Times New Roman"/>
          <w:b/>
          <w:sz w:val="22"/>
        </w:rPr>
      </w:pPr>
      <w:r w:rsidRPr="00CF010E">
        <w:rPr>
          <w:rFonts w:ascii="Times New Roman" w:hAnsi="Times New Roman"/>
          <w:b/>
          <w:sz w:val="22"/>
        </w:rPr>
        <w:t>DELIBEROU:</w:t>
      </w:r>
    </w:p>
    <w:p w:rsidR="000C0AF5" w:rsidRPr="00CF010E" w:rsidRDefault="000C0AF5" w:rsidP="005455AE">
      <w:pPr>
        <w:ind w:right="275"/>
        <w:jc w:val="both"/>
        <w:rPr>
          <w:rFonts w:ascii="Times New Roman" w:hAnsi="Times New Roman"/>
          <w:b/>
          <w:sz w:val="22"/>
        </w:rPr>
      </w:pPr>
    </w:p>
    <w:p w:rsidR="00436D6D" w:rsidRDefault="000C3467" w:rsidP="0027614E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436D6D">
        <w:rPr>
          <w:rFonts w:ascii="Times New Roman" w:hAnsi="Times New Roman"/>
          <w:sz w:val="22"/>
        </w:rPr>
        <w:t>Por a</w:t>
      </w:r>
      <w:r w:rsidR="000C0AF5" w:rsidRPr="00436D6D">
        <w:rPr>
          <w:rFonts w:ascii="Times New Roman" w:hAnsi="Times New Roman"/>
          <w:sz w:val="22"/>
        </w:rPr>
        <w:t xml:space="preserve">provar o </w:t>
      </w:r>
      <w:bookmarkStart w:id="0" w:name="_GoBack"/>
      <w:r w:rsidR="000C0AF5" w:rsidRPr="00436D6D">
        <w:rPr>
          <w:rFonts w:ascii="Times New Roman" w:hAnsi="Times New Roman"/>
          <w:sz w:val="22"/>
        </w:rPr>
        <w:t>relatório e o voto fundamentado do Conselheiro Relator,</w:t>
      </w:r>
      <w:r w:rsidR="00CA60C6" w:rsidRPr="00436D6D">
        <w:rPr>
          <w:rFonts w:ascii="Times New Roman" w:hAnsi="Times New Roman"/>
          <w:sz w:val="22"/>
        </w:rPr>
        <w:t xml:space="preserve"> </w:t>
      </w:r>
      <w:r w:rsidR="00EA3682" w:rsidRPr="00436D6D">
        <w:rPr>
          <w:rFonts w:ascii="Times New Roman" w:hAnsi="Times New Roman"/>
          <w:sz w:val="22"/>
        </w:rPr>
        <w:t>para julgar</w:t>
      </w:r>
      <w:r w:rsidR="000C56CE" w:rsidRPr="00436D6D">
        <w:rPr>
          <w:rFonts w:ascii="Times New Roman" w:hAnsi="Times New Roman"/>
          <w:sz w:val="22"/>
        </w:rPr>
        <w:t xml:space="preserve"> im</w:t>
      </w:r>
      <w:r w:rsidR="00EA3682" w:rsidRPr="00436D6D">
        <w:rPr>
          <w:rFonts w:ascii="Times New Roman" w:hAnsi="Times New Roman"/>
          <w:sz w:val="22"/>
        </w:rPr>
        <w:t xml:space="preserve">procedente </w:t>
      </w:r>
      <w:r w:rsidR="000C56CE" w:rsidRPr="00436D6D">
        <w:rPr>
          <w:rFonts w:ascii="Times New Roman" w:hAnsi="Times New Roman"/>
          <w:sz w:val="22"/>
        </w:rPr>
        <w:t>o recurso</w:t>
      </w:r>
      <w:r w:rsidR="005455AE" w:rsidRPr="00436D6D">
        <w:rPr>
          <w:rFonts w:ascii="Times New Roman" w:hAnsi="Times New Roman"/>
          <w:sz w:val="22"/>
        </w:rPr>
        <w:t xml:space="preserve"> e manter a </w:t>
      </w:r>
      <w:r w:rsidR="005455AE" w:rsidRPr="00436D6D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Deliberação CED-CAU/RS nº </w:t>
      </w:r>
      <w:r w:rsidR="00436D6D" w:rsidRPr="00436D6D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032/2019</w:t>
      </w:r>
      <w:r w:rsidR="005455AE" w:rsidRPr="00436D6D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</w:t>
      </w:r>
      <w:r w:rsidR="005455AE" w:rsidRPr="00436D6D">
        <w:rPr>
          <w:rFonts w:ascii="Times New Roman" w:hAnsi="Times New Roman"/>
          <w:sz w:val="22"/>
        </w:rPr>
        <w:t xml:space="preserve"> decidindo pelo não acatamento da denúncia </w:t>
      </w:r>
      <w:r w:rsidR="00436D6D">
        <w:rPr>
          <w:rFonts w:ascii="Times New Roman" w:hAnsi="Times New Roman"/>
          <w:sz w:val="22"/>
        </w:rPr>
        <w:t>e extinção do processo, com fulcro nos incisos III e IV, do art. 113, da Resolução CAU/BR nº 143/2017, uma vez que incidiu a prescrição da pretensão punitiva</w:t>
      </w:r>
      <w:r w:rsidR="00436D6D">
        <w:rPr>
          <w:rFonts w:ascii="Times New Roman" w:hAnsi="Times New Roman"/>
          <w:sz w:val="22"/>
          <w:szCs w:val="22"/>
        </w:rPr>
        <w:t>.</w:t>
      </w:r>
    </w:p>
    <w:bookmarkEnd w:id="0"/>
    <w:p w:rsidR="00450CEC" w:rsidRDefault="00450CEC" w:rsidP="00450CEC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3C0ADC" w:rsidRDefault="003C0ADC" w:rsidP="003C0ADC">
      <w:pPr>
        <w:pStyle w:val="PargrafodaLista"/>
        <w:numPr>
          <w:ilvl w:val="0"/>
          <w:numId w:val="5"/>
        </w:numPr>
        <w:ind w:left="0" w:right="275" w:firstLine="0"/>
        <w:jc w:val="both"/>
        <w:rPr>
          <w:rFonts w:ascii="Times New Roman" w:hAnsi="Times New Roman"/>
          <w:sz w:val="22"/>
          <w:szCs w:val="22"/>
        </w:rPr>
      </w:pPr>
      <w:r w:rsidRPr="003C0ADC">
        <w:rPr>
          <w:rFonts w:ascii="Times New Roman" w:hAnsi="Times New Roman"/>
          <w:sz w:val="22"/>
          <w:szCs w:val="22"/>
        </w:rPr>
        <w:t>Notifiquem-se as partes do teor da decisão para, querendo, no prazo de 10 (dez) dias, interpor recurso ao Plenário do CAU/BR, nos termos do art. 22 da Lei nº 12.378/200.</w:t>
      </w:r>
    </w:p>
    <w:p w:rsidR="00450CEC" w:rsidRPr="003C0ADC" w:rsidRDefault="00450CEC" w:rsidP="00450CEC">
      <w:pPr>
        <w:pStyle w:val="PargrafodaLista"/>
        <w:ind w:left="0" w:right="275"/>
        <w:jc w:val="both"/>
        <w:rPr>
          <w:rFonts w:ascii="Times New Roman" w:hAnsi="Times New Roman"/>
          <w:sz w:val="22"/>
          <w:szCs w:val="22"/>
        </w:rPr>
      </w:pPr>
    </w:p>
    <w:p w:rsidR="000B4E4C" w:rsidRPr="00305630" w:rsidRDefault="000B4E4C" w:rsidP="000B4E4C">
      <w:pPr>
        <w:spacing w:line="276" w:lineRule="auto"/>
        <w:jc w:val="both"/>
        <w:rPr>
          <w:rFonts w:ascii="Times New Roman" w:hAnsi="Times New Roman"/>
          <w:sz w:val="22"/>
          <w:szCs w:val="22"/>
          <w:u w:val="single"/>
        </w:rPr>
      </w:pPr>
      <w:r w:rsidRPr="00305630">
        <w:rPr>
          <w:rFonts w:ascii="Times New Roman" w:hAnsi="Times New Roman"/>
          <w:sz w:val="22"/>
          <w:szCs w:val="22"/>
          <w:u w:val="single"/>
          <w:lang w:eastAsia="pt-BR"/>
        </w:rPr>
        <w:t xml:space="preserve">Esta deliberação entra em vigor na data de sua publicação. </w:t>
      </w:r>
    </w:p>
    <w:p w:rsidR="000B4E4C" w:rsidRPr="00E26E64" w:rsidRDefault="000B4E4C" w:rsidP="000B4E4C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0B4E4C" w:rsidRDefault="000B4E4C" w:rsidP="00507E98">
      <w:pPr>
        <w:ind w:right="133"/>
        <w:jc w:val="both"/>
        <w:rPr>
          <w:rFonts w:ascii="Times New Roman" w:hAnsi="Times New Roman"/>
          <w:sz w:val="22"/>
          <w:szCs w:val="22"/>
        </w:rPr>
      </w:pPr>
      <w:r w:rsidRPr="00C9391A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C9391A" w:rsidRPr="00C9391A">
        <w:rPr>
          <w:rFonts w:ascii="Times New Roman" w:hAnsi="Times New Roman"/>
          <w:sz w:val="22"/>
          <w:szCs w:val="22"/>
          <w:lang w:eastAsia="pt-BR"/>
        </w:rPr>
        <w:t>07</w:t>
      </w:r>
      <w:r w:rsidRPr="00C9391A">
        <w:rPr>
          <w:rFonts w:ascii="Times New Roman" w:hAnsi="Times New Roman"/>
          <w:sz w:val="22"/>
          <w:szCs w:val="22"/>
          <w:lang w:eastAsia="pt-BR"/>
        </w:rPr>
        <w:t xml:space="preserve"> (</w:t>
      </w:r>
      <w:r w:rsidR="00C9391A" w:rsidRPr="00C9391A">
        <w:rPr>
          <w:rFonts w:ascii="Times New Roman" w:hAnsi="Times New Roman"/>
          <w:sz w:val="22"/>
          <w:szCs w:val="22"/>
          <w:lang w:eastAsia="pt-BR"/>
        </w:rPr>
        <w:t>sete</w:t>
      </w:r>
      <w:r w:rsidRPr="00C9391A">
        <w:rPr>
          <w:rFonts w:ascii="Times New Roman" w:hAnsi="Times New Roman"/>
          <w:sz w:val="22"/>
          <w:szCs w:val="22"/>
          <w:lang w:eastAsia="pt-BR"/>
        </w:rPr>
        <w:t>) votos favoráveis dos conselheiros</w:t>
      </w:r>
      <w:r w:rsidR="00507E98" w:rsidRPr="00C9391A">
        <w:rPr>
          <w:rFonts w:ascii="Times New Roman" w:hAnsi="Times New Roman"/>
          <w:sz w:val="22"/>
          <w:szCs w:val="22"/>
        </w:rPr>
        <w:t xml:space="preserve"> Helenice Macedo do Couto, Roberta Krahe Edelweiss, Alexandre Couto Giorgi, Priscila Terra Quesada, Marcia Elizabeth Martins, Maurício Zuchetti</w:t>
      </w:r>
      <w:r w:rsidR="00C9391A" w:rsidRPr="00C9391A">
        <w:rPr>
          <w:rFonts w:ascii="Times New Roman" w:hAnsi="Times New Roman"/>
          <w:sz w:val="22"/>
          <w:szCs w:val="22"/>
        </w:rPr>
        <w:t xml:space="preserve"> </w:t>
      </w:r>
      <w:r w:rsidR="00507E98" w:rsidRPr="00C9391A">
        <w:rPr>
          <w:rFonts w:ascii="Times New Roman" w:hAnsi="Times New Roman"/>
          <w:sz w:val="22"/>
          <w:szCs w:val="22"/>
        </w:rPr>
        <w:t xml:space="preserve">e Rui Mineiro, 01 (um) voto contrário do Conselheiro Alvino Jara, </w:t>
      </w:r>
      <w:r w:rsidR="00C9391A" w:rsidRPr="00C9391A">
        <w:rPr>
          <w:rFonts w:ascii="Times New Roman" w:hAnsi="Times New Roman"/>
          <w:sz w:val="22"/>
          <w:szCs w:val="22"/>
        </w:rPr>
        <w:t>06</w:t>
      </w:r>
      <w:r w:rsidR="00507E98" w:rsidRPr="00C9391A">
        <w:rPr>
          <w:rFonts w:ascii="Times New Roman" w:hAnsi="Times New Roman"/>
          <w:sz w:val="22"/>
          <w:szCs w:val="22"/>
        </w:rPr>
        <w:t xml:space="preserve"> (</w:t>
      </w:r>
      <w:r w:rsidR="00C9391A" w:rsidRPr="00C9391A">
        <w:rPr>
          <w:rFonts w:ascii="Times New Roman" w:hAnsi="Times New Roman"/>
          <w:sz w:val="22"/>
          <w:szCs w:val="22"/>
        </w:rPr>
        <w:t>seis</w:t>
      </w:r>
      <w:r w:rsidR="00507E98" w:rsidRPr="00C9391A">
        <w:rPr>
          <w:rFonts w:ascii="Times New Roman" w:hAnsi="Times New Roman"/>
          <w:sz w:val="22"/>
          <w:szCs w:val="22"/>
        </w:rPr>
        <w:t>) abstenções dos Conselheiros  Claudio Fischer</w:t>
      </w:r>
      <w:r w:rsidR="00C9391A" w:rsidRPr="00C9391A">
        <w:rPr>
          <w:rFonts w:ascii="Times New Roman" w:hAnsi="Times New Roman"/>
          <w:sz w:val="22"/>
          <w:szCs w:val="22"/>
        </w:rPr>
        <w:t>,</w:t>
      </w:r>
      <w:r w:rsidR="00507E98" w:rsidRPr="00C9391A">
        <w:rPr>
          <w:rFonts w:ascii="Times New Roman" w:hAnsi="Times New Roman"/>
          <w:sz w:val="22"/>
          <w:szCs w:val="22"/>
        </w:rPr>
        <w:t xml:space="preserve"> José Arthur Fell</w:t>
      </w:r>
      <w:r w:rsidR="00C9391A" w:rsidRPr="00C9391A">
        <w:rPr>
          <w:rFonts w:ascii="Times New Roman" w:hAnsi="Times New Roman"/>
          <w:sz w:val="22"/>
          <w:szCs w:val="22"/>
        </w:rPr>
        <w:t>,</w:t>
      </w:r>
      <w:r w:rsidR="00507E98" w:rsidRPr="00C9391A">
        <w:rPr>
          <w:rFonts w:ascii="Times New Roman" w:hAnsi="Times New Roman"/>
          <w:sz w:val="22"/>
          <w:szCs w:val="22"/>
        </w:rPr>
        <w:t xml:space="preserve"> </w:t>
      </w:r>
      <w:r w:rsidR="00C9391A" w:rsidRPr="00C9391A">
        <w:rPr>
          <w:rFonts w:ascii="Times New Roman" w:hAnsi="Times New Roman"/>
          <w:sz w:val="22"/>
          <w:szCs w:val="22"/>
        </w:rPr>
        <w:t xml:space="preserve">Matias Revello Vazquez, Oritz Adriano Adams de Campos, Paulo Fernando do Amaral Fontana e Rômulo Plentz Giralt </w:t>
      </w:r>
      <w:r w:rsidRPr="00C9391A">
        <w:rPr>
          <w:rFonts w:ascii="Times New Roman" w:hAnsi="Times New Roman"/>
          <w:sz w:val="22"/>
          <w:szCs w:val="22"/>
        </w:rPr>
        <w:t xml:space="preserve">e </w:t>
      </w:r>
      <w:r w:rsidR="00913BC7" w:rsidRPr="00C9391A">
        <w:rPr>
          <w:rFonts w:ascii="Times New Roman" w:hAnsi="Times New Roman"/>
          <w:sz w:val="22"/>
          <w:szCs w:val="22"/>
        </w:rPr>
        <w:t>04</w:t>
      </w:r>
      <w:r w:rsidRPr="00C9391A">
        <w:rPr>
          <w:rFonts w:ascii="Times New Roman" w:hAnsi="Times New Roman"/>
          <w:sz w:val="22"/>
          <w:szCs w:val="22"/>
        </w:rPr>
        <w:t xml:space="preserve"> (</w:t>
      </w:r>
      <w:r w:rsidR="00913BC7" w:rsidRPr="00C9391A">
        <w:rPr>
          <w:rFonts w:ascii="Times New Roman" w:hAnsi="Times New Roman"/>
          <w:sz w:val="22"/>
          <w:szCs w:val="22"/>
        </w:rPr>
        <w:t>quatro</w:t>
      </w:r>
      <w:r w:rsidRPr="00C9391A">
        <w:rPr>
          <w:rFonts w:ascii="Times New Roman" w:hAnsi="Times New Roman"/>
          <w:sz w:val="22"/>
          <w:szCs w:val="22"/>
        </w:rPr>
        <w:t xml:space="preserve">) ausências dos Conselheiros </w:t>
      </w:r>
      <w:r w:rsidR="00913BC7" w:rsidRPr="00C9391A">
        <w:rPr>
          <w:rFonts w:ascii="Times New Roman" w:hAnsi="Times New Roman"/>
          <w:sz w:val="22"/>
          <w:szCs w:val="22"/>
        </w:rPr>
        <w:t xml:space="preserve">Carlos Fabiano Santos Pitzer, Renata Camilo Maraschin, Rodrigo Rintzel e Jorge </w:t>
      </w:r>
      <w:proofErr w:type="spellStart"/>
      <w:r w:rsidR="00913BC7" w:rsidRPr="00C9391A">
        <w:rPr>
          <w:rFonts w:ascii="Times New Roman" w:hAnsi="Times New Roman"/>
          <w:sz w:val="22"/>
          <w:szCs w:val="22"/>
        </w:rPr>
        <w:t>Luíz</w:t>
      </w:r>
      <w:proofErr w:type="spellEnd"/>
      <w:r w:rsidR="00913BC7" w:rsidRPr="00C9391A">
        <w:rPr>
          <w:rFonts w:ascii="Times New Roman" w:hAnsi="Times New Roman"/>
          <w:sz w:val="22"/>
          <w:szCs w:val="22"/>
        </w:rPr>
        <w:t xml:space="preserve"> Stocker Júnior</w:t>
      </w:r>
      <w:r w:rsidRPr="00C9391A">
        <w:rPr>
          <w:rFonts w:ascii="Times New Roman" w:hAnsi="Times New Roman"/>
          <w:sz w:val="22"/>
          <w:szCs w:val="22"/>
        </w:rPr>
        <w:t>.</w:t>
      </w:r>
    </w:p>
    <w:p w:rsidR="000C0AF5" w:rsidRDefault="000C0AF5" w:rsidP="005455AE">
      <w:pPr>
        <w:ind w:right="842"/>
        <w:jc w:val="both"/>
        <w:rPr>
          <w:rFonts w:ascii="Times New Roman" w:hAnsi="Times New Roman"/>
          <w:sz w:val="22"/>
        </w:rPr>
      </w:pPr>
    </w:p>
    <w:p w:rsidR="000C3467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A54A64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436D6D">
        <w:rPr>
          <w:rFonts w:ascii="Times New Roman" w:hAnsi="Times New Roman"/>
          <w:sz w:val="22"/>
        </w:rPr>
        <w:t>29</w:t>
      </w:r>
      <w:r w:rsidR="002B2C5D">
        <w:rPr>
          <w:rFonts w:ascii="Times New Roman" w:hAnsi="Times New Roman"/>
          <w:sz w:val="22"/>
        </w:rPr>
        <w:t xml:space="preserve"> de </w:t>
      </w:r>
      <w:r w:rsidR="00436D6D">
        <w:rPr>
          <w:rFonts w:ascii="Times New Roman" w:hAnsi="Times New Roman"/>
          <w:sz w:val="22"/>
        </w:rPr>
        <w:t xml:space="preserve">novembro </w:t>
      </w:r>
      <w:r w:rsidR="002B2C5D">
        <w:rPr>
          <w:rFonts w:ascii="Times New Roman" w:hAnsi="Times New Roman"/>
          <w:sz w:val="22"/>
        </w:rPr>
        <w:t>de 2019.</w:t>
      </w:r>
    </w:p>
    <w:p w:rsidR="00450CEC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50CEC" w:rsidRDefault="00C9391A" w:rsidP="00C9391A">
      <w:pPr>
        <w:pStyle w:val="PargrafodaLista"/>
        <w:tabs>
          <w:tab w:val="left" w:pos="7621"/>
        </w:tabs>
        <w:ind w:left="0" w:right="133"/>
        <w:contextualSpacing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:rsidR="00450CEC" w:rsidRDefault="00450CEC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A54A64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A54A64" w:rsidRPr="000C3467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t>TIAGO HOLZMANN DA SILVA</w:t>
      </w:r>
    </w:p>
    <w:p w:rsidR="00A54A64" w:rsidRPr="00607A0F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8A7B21" w:rsidRDefault="008A7B21" w:rsidP="005455A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E06B09" w:rsidRDefault="00E06B09" w:rsidP="005455A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6F3487" w:rsidRDefault="00436D6D" w:rsidP="005455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103</w:t>
      </w:r>
      <w:r w:rsidR="00E06B09" w:rsidRPr="006F3487">
        <w:rPr>
          <w:rFonts w:ascii="Times New Roman" w:hAnsi="Times New Roman"/>
          <w:b/>
          <w:bCs/>
          <w:sz w:val="22"/>
          <w:szCs w:val="22"/>
          <w:lang w:eastAsia="pt-BR"/>
        </w:rPr>
        <w:t>ª REUNIÃO PLENÁRIA ORDINÁRIA DO CAU/RS</w:t>
      </w:r>
    </w:p>
    <w:p w:rsidR="00E06B09" w:rsidRPr="006F3487" w:rsidRDefault="00E06B09" w:rsidP="005455A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RPr="006F348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RPr="006F348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913BC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913BC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913BC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C9391A" w:rsidP="00C9391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913BC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913BC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913BC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6F3487" w:rsidRDefault="00913BC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913BC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7669" w:rsidRPr="006F3487" w:rsidTr="0044515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3B7669" w:rsidRPr="003B7669" w:rsidRDefault="003B7669" w:rsidP="003B7669">
            <w:pPr>
              <w:rPr>
                <w:rFonts w:ascii="Times New Roman" w:hAnsi="Times New Roman"/>
                <w:sz w:val="22"/>
                <w:szCs w:val="22"/>
              </w:rPr>
            </w:pPr>
            <w:r w:rsidRPr="003B7669">
              <w:rPr>
                <w:rFonts w:ascii="Times New Roman" w:hAnsi="Times New Roman"/>
                <w:sz w:val="22"/>
                <w:szCs w:val="22"/>
              </w:rPr>
              <w:t xml:space="preserve">Jorge </w:t>
            </w:r>
            <w:proofErr w:type="spellStart"/>
            <w:r w:rsidRPr="003B7669">
              <w:rPr>
                <w:rFonts w:ascii="Times New Roman" w:hAnsi="Times New Roman"/>
                <w:sz w:val="22"/>
                <w:szCs w:val="22"/>
              </w:rPr>
              <w:t>Luíz</w:t>
            </w:r>
            <w:proofErr w:type="spellEnd"/>
            <w:r w:rsidRPr="003B7669">
              <w:rPr>
                <w:rFonts w:ascii="Times New Roman" w:hAnsi="Times New Roman"/>
                <w:sz w:val="22"/>
                <w:szCs w:val="22"/>
              </w:rPr>
              <w:t xml:space="preserve"> Stocker Júnior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3B7669" w:rsidP="003B76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B7669" w:rsidRPr="006F3487" w:rsidRDefault="00913BC7" w:rsidP="003B766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E06B09" w:rsidRPr="006F3487" w:rsidRDefault="00E06B09" w:rsidP="005455A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  <w:p w:rsidR="003B7669" w:rsidRPr="003B7669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</w:t>
            </w:r>
            <w:r w:rsidR="00436D6D" w:rsidRPr="003B7669">
              <w:rPr>
                <w:rFonts w:ascii="Times New Roman" w:hAnsi="Times New Roman"/>
                <w:b/>
                <w:sz w:val="20"/>
                <w:szCs w:val="22"/>
              </w:rPr>
              <w:t>O</w:t>
            </w: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rdinária nº </w:t>
            </w:r>
            <w:r w:rsidR="00436D6D" w:rsidRPr="003B7669">
              <w:rPr>
                <w:rFonts w:ascii="Times New Roman" w:hAnsi="Times New Roman"/>
                <w:b/>
                <w:sz w:val="20"/>
                <w:szCs w:val="22"/>
              </w:rPr>
              <w:t>103</w:t>
            </w:r>
          </w:p>
          <w:p w:rsidR="003B7669" w:rsidRPr="003B7669" w:rsidRDefault="003B7669" w:rsidP="00436D6D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436D6D" w:rsidRPr="003B7669">
              <w:rPr>
                <w:rFonts w:ascii="Times New Roman" w:hAnsi="Times New Roman"/>
                <w:b/>
                <w:sz w:val="20"/>
                <w:szCs w:val="22"/>
              </w:rPr>
              <w:t>29/11</w:t>
            </w:r>
            <w:r w:rsidR="00487979" w:rsidRPr="003B7669">
              <w:rPr>
                <w:rFonts w:ascii="Times New Roman" w:hAnsi="Times New Roman"/>
                <w:b/>
                <w:sz w:val="20"/>
                <w:szCs w:val="22"/>
              </w:rPr>
              <w:t>/2019</w:t>
            </w:r>
          </w:p>
          <w:p w:rsidR="003B7669" w:rsidRPr="003B7669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  <w:p w:rsidR="000C3467" w:rsidRPr="003B7669" w:rsidRDefault="000C3467" w:rsidP="005455AE">
            <w:pPr>
              <w:rPr>
                <w:rFonts w:ascii="Times New Roman" w:hAnsi="Times New Roman"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3B7669">
              <w:rPr>
                <w:rFonts w:ascii="Times New Roman" w:hAnsi="Times New Roman"/>
                <w:b/>
                <w:sz w:val="20"/>
                <w:szCs w:val="22"/>
              </w:rPr>
              <w:t xml:space="preserve">DPO-RS 1100/2019 - </w:t>
            </w:r>
            <w:r w:rsidR="00436D6D" w:rsidRPr="003B7669">
              <w:rPr>
                <w:rFonts w:ascii="Times New Roman" w:hAnsi="Times New Roman"/>
                <w:sz w:val="20"/>
                <w:szCs w:val="22"/>
              </w:rPr>
              <w:t>Aprova o relatório e o voto fundamentado do Conselheiro Relator</w:t>
            </w:r>
            <w:r w:rsidR="00FC7FE7">
              <w:rPr>
                <w:rFonts w:ascii="Times New Roman" w:hAnsi="Times New Roman"/>
                <w:sz w:val="20"/>
                <w:szCs w:val="22"/>
              </w:rPr>
              <w:t>, nos autos do protocolo nº 676</w:t>
            </w:r>
            <w:r w:rsidR="00436D6D" w:rsidRPr="003B7669">
              <w:rPr>
                <w:rFonts w:ascii="Times New Roman" w:hAnsi="Times New Roman"/>
                <w:sz w:val="20"/>
                <w:szCs w:val="22"/>
              </w:rPr>
              <w:t>897/2018, pela manutenção da decisão recorrida de arquivamento liminar, conforme aprovado pela Deliberação CED-CAU/RS nº 032/2019.</w:t>
            </w:r>
          </w:p>
          <w:p w:rsidR="000C3467" w:rsidRPr="003B7669" w:rsidRDefault="000C3467" w:rsidP="005455AE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(</w:t>
            </w:r>
            <w:r w:rsidR="00C9391A">
              <w:rPr>
                <w:rFonts w:ascii="Times New Roman" w:hAnsi="Times New Roman"/>
                <w:sz w:val="20"/>
                <w:szCs w:val="22"/>
              </w:rPr>
              <w:t>07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(</w:t>
            </w:r>
            <w:r w:rsidR="00913BC7">
              <w:rPr>
                <w:rFonts w:ascii="Times New Roman" w:hAnsi="Times New Roman"/>
                <w:sz w:val="20"/>
                <w:szCs w:val="22"/>
              </w:rPr>
              <w:t>01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(</w:t>
            </w:r>
            <w:r w:rsidR="00C9391A">
              <w:rPr>
                <w:rFonts w:ascii="Times New Roman" w:hAnsi="Times New Roman"/>
                <w:sz w:val="20"/>
                <w:szCs w:val="22"/>
              </w:rPr>
              <w:t>06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(</w:t>
            </w:r>
            <w:r w:rsidR="00913BC7">
              <w:rPr>
                <w:rFonts w:ascii="Times New Roman" w:hAnsi="Times New Roman"/>
                <w:sz w:val="20"/>
                <w:szCs w:val="22"/>
              </w:rPr>
              <w:t>04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(</w:t>
            </w:r>
            <w:r w:rsidR="00913BC7">
              <w:rPr>
                <w:rFonts w:ascii="Times New Roman" w:hAnsi="Times New Roman"/>
                <w:sz w:val="20"/>
                <w:szCs w:val="22"/>
              </w:rPr>
              <w:t>18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)</w:t>
            </w:r>
          </w:p>
          <w:p w:rsidR="003B7669" w:rsidRPr="003B7669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  <w:p w:rsidR="003B7669" w:rsidRPr="003B7669" w:rsidRDefault="003B7669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3B7669" w:rsidRDefault="000C3467" w:rsidP="005455A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3B7669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C3467" w:rsidRPr="003B7669" w:rsidRDefault="000C3467" w:rsidP="005455AE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3B7669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3B7669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E06B09" w:rsidRPr="006F3487" w:rsidRDefault="00E06B09" w:rsidP="005455AE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E06B09" w:rsidRPr="006F3487" w:rsidSect="00CF010E">
      <w:headerReference w:type="default" r:id="rId8"/>
      <w:footerReference w:type="default" r:id="rId9"/>
      <w:pgSz w:w="11900" w:h="16840"/>
      <w:pgMar w:top="1985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7BA" w:rsidRDefault="00AE17BA">
      <w:r>
        <w:separator/>
      </w:r>
    </w:p>
  </w:endnote>
  <w:endnote w:type="continuationSeparator" w:id="0">
    <w:p w:rsidR="00AE17BA" w:rsidRDefault="00AE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7BA" w:rsidRDefault="00AE17BA">
      <w:r>
        <w:separator/>
      </w:r>
    </w:p>
  </w:footnote>
  <w:footnote w:type="continuationSeparator" w:id="0">
    <w:p w:rsidR="00AE17BA" w:rsidRDefault="00AE1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B4E4C"/>
    <w:rsid w:val="000C0AF5"/>
    <w:rsid w:val="000C3467"/>
    <w:rsid w:val="000C56CE"/>
    <w:rsid w:val="000F689F"/>
    <w:rsid w:val="0011454F"/>
    <w:rsid w:val="00116921"/>
    <w:rsid w:val="00120B9C"/>
    <w:rsid w:val="00145955"/>
    <w:rsid w:val="00182BA3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31792E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927D8"/>
    <w:rsid w:val="00397CFD"/>
    <w:rsid w:val="003A7CFA"/>
    <w:rsid w:val="003B1803"/>
    <w:rsid w:val="003B7669"/>
    <w:rsid w:val="003C0ADC"/>
    <w:rsid w:val="003D5EB0"/>
    <w:rsid w:val="003E02B1"/>
    <w:rsid w:val="00403143"/>
    <w:rsid w:val="00406458"/>
    <w:rsid w:val="004349D7"/>
    <w:rsid w:val="00436D6D"/>
    <w:rsid w:val="00450CEC"/>
    <w:rsid w:val="00465302"/>
    <w:rsid w:val="004714FB"/>
    <w:rsid w:val="00487979"/>
    <w:rsid w:val="00491AA4"/>
    <w:rsid w:val="00492867"/>
    <w:rsid w:val="004B688D"/>
    <w:rsid w:val="004C2AEE"/>
    <w:rsid w:val="004E5752"/>
    <w:rsid w:val="00507E98"/>
    <w:rsid w:val="00510345"/>
    <w:rsid w:val="00510714"/>
    <w:rsid w:val="005161B0"/>
    <w:rsid w:val="00523473"/>
    <w:rsid w:val="00533582"/>
    <w:rsid w:val="00544F24"/>
    <w:rsid w:val="005455AE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A7D6B"/>
    <w:rsid w:val="005C6C10"/>
    <w:rsid w:val="005E7C3B"/>
    <w:rsid w:val="005F21B1"/>
    <w:rsid w:val="005F2A2D"/>
    <w:rsid w:val="005F7A1F"/>
    <w:rsid w:val="00607A0F"/>
    <w:rsid w:val="006117B1"/>
    <w:rsid w:val="0061637B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4CBF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A5EB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7B21"/>
    <w:rsid w:val="008B147F"/>
    <w:rsid w:val="008C3A72"/>
    <w:rsid w:val="008D4E17"/>
    <w:rsid w:val="008D5C60"/>
    <w:rsid w:val="008E02C7"/>
    <w:rsid w:val="008E10AD"/>
    <w:rsid w:val="008E5E24"/>
    <w:rsid w:val="008F1F4D"/>
    <w:rsid w:val="008F62F9"/>
    <w:rsid w:val="00901807"/>
    <w:rsid w:val="00913BC7"/>
    <w:rsid w:val="00917013"/>
    <w:rsid w:val="00923054"/>
    <w:rsid w:val="0092393C"/>
    <w:rsid w:val="00964726"/>
    <w:rsid w:val="00985691"/>
    <w:rsid w:val="0099031C"/>
    <w:rsid w:val="009976BE"/>
    <w:rsid w:val="009A77F2"/>
    <w:rsid w:val="009B393D"/>
    <w:rsid w:val="009D1E5F"/>
    <w:rsid w:val="009E2C03"/>
    <w:rsid w:val="00A003CE"/>
    <w:rsid w:val="00A012DF"/>
    <w:rsid w:val="00A05466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A6FA9"/>
    <w:rsid w:val="00AB2D89"/>
    <w:rsid w:val="00AC7399"/>
    <w:rsid w:val="00AE17BA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06108"/>
    <w:rsid w:val="00C124BD"/>
    <w:rsid w:val="00C32772"/>
    <w:rsid w:val="00C37DE3"/>
    <w:rsid w:val="00C50B47"/>
    <w:rsid w:val="00C7632C"/>
    <w:rsid w:val="00C77139"/>
    <w:rsid w:val="00C92ED9"/>
    <w:rsid w:val="00C9391A"/>
    <w:rsid w:val="00CA42DC"/>
    <w:rsid w:val="00CA60C6"/>
    <w:rsid w:val="00CB15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81D9A"/>
    <w:rsid w:val="00D860B1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95809"/>
    <w:rsid w:val="00FA6056"/>
    <w:rsid w:val="00FA70A1"/>
    <w:rsid w:val="00FB072C"/>
    <w:rsid w:val="00FB5050"/>
    <w:rsid w:val="00FC7320"/>
    <w:rsid w:val="00FC7FE7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DC421-8034-416B-864C-D030EAD85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3</cp:revision>
  <cp:lastPrinted>2019-11-26T20:10:00Z</cp:lastPrinted>
  <dcterms:created xsi:type="dcterms:W3CDTF">2019-12-10T19:43:00Z</dcterms:created>
  <dcterms:modified xsi:type="dcterms:W3CDTF">2019-12-23T17:50:00Z</dcterms:modified>
</cp:coreProperties>
</file>