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7439AB" w:rsidRPr="00240D7B" w:rsidTr="00E7628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7439AB" w:rsidRPr="00240D7B" w:rsidRDefault="007439AB" w:rsidP="007439AB">
            <w:pPr>
              <w:rPr>
                <w:rFonts w:ascii="Times New Roman" w:hAnsi="Times New Roman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9AB" w:rsidRPr="003D2D47" w:rsidRDefault="00485D41" w:rsidP="007439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02255">
              <w:rPr>
                <w:rFonts w:ascii="Times New Roman" w:hAnsi="Times New Roman"/>
                <w:sz w:val="22"/>
                <w:szCs w:val="22"/>
              </w:rPr>
              <w:t>968317/2019</w:t>
            </w:r>
          </w:p>
        </w:tc>
      </w:tr>
      <w:tr w:rsidR="007439AB" w:rsidRPr="00240D7B" w:rsidTr="00E7628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7439AB" w:rsidRPr="00240D7B" w:rsidRDefault="007439AB" w:rsidP="007439AB">
            <w:pPr>
              <w:rPr>
                <w:rFonts w:ascii="Times New Roman" w:hAnsi="Times New Roman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9AB" w:rsidRPr="003D2D47" w:rsidRDefault="007439AB" w:rsidP="007439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2D47">
              <w:rPr>
                <w:rFonts w:ascii="Times New Roman" w:hAnsi="Times New Roman"/>
                <w:sz w:val="22"/>
                <w:szCs w:val="22"/>
              </w:rPr>
              <w:t>LAURA LANSINI CAPELARI</w:t>
            </w:r>
          </w:p>
        </w:tc>
      </w:tr>
      <w:tr w:rsidR="007439AB" w:rsidRPr="00240D7B" w:rsidTr="00E7628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7439AB" w:rsidRPr="00240D7B" w:rsidRDefault="007439AB" w:rsidP="007439AB">
            <w:pPr>
              <w:rPr>
                <w:rFonts w:ascii="Times New Roman" w:hAnsi="Times New Roman"/>
                <w:sz w:val="22"/>
                <w:szCs w:val="22"/>
              </w:rPr>
            </w:pPr>
            <w:r w:rsidRPr="00240D7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9AB" w:rsidRPr="003D2D47" w:rsidRDefault="007439AB" w:rsidP="007439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2D47">
              <w:rPr>
                <w:rFonts w:ascii="Times New Roman" w:hAnsi="Times New Roman"/>
                <w:sz w:val="22"/>
                <w:szCs w:val="22"/>
              </w:rPr>
              <w:t>REQUERI</w:t>
            </w:r>
            <w:r w:rsidR="00485D41">
              <w:rPr>
                <w:rFonts w:ascii="Times New Roman" w:hAnsi="Times New Roman"/>
                <w:sz w:val="22"/>
                <w:szCs w:val="22"/>
              </w:rPr>
              <w:t>MENTO DE DIREITO AUTORAL Nº 1740</w:t>
            </w:r>
          </w:p>
        </w:tc>
      </w:tr>
    </w:tbl>
    <w:p w:rsidR="00124A49" w:rsidRPr="00044DD9" w:rsidRDefault="00124A49" w:rsidP="0066336F">
      <w:pPr>
        <w:pBdr>
          <w:top w:val="single" w:sz="8" w:space="2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761F85">
        <w:rPr>
          <w:rFonts w:ascii="Times New Roman" w:hAnsi="Times New Roman"/>
          <w:sz w:val="22"/>
          <w:szCs w:val="22"/>
          <w:lang w:eastAsia="pt-BR"/>
        </w:rPr>
        <w:t>1097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</w:t>
      </w:r>
      <w:r w:rsidR="001416EB">
        <w:rPr>
          <w:rFonts w:ascii="Times New Roman" w:hAnsi="Times New Roman"/>
          <w:sz w:val="22"/>
          <w:szCs w:val="22"/>
          <w:lang w:eastAsia="pt-BR"/>
        </w:rPr>
        <w:t>9</w:t>
      </w:r>
    </w:p>
    <w:p w:rsidR="0066336F" w:rsidRPr="0066336F" w:rsidRDefault="0066336F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F8113B" w:rsidRPr="0066336F" w:rsidRDefault="0077236B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Homologa</w:t>
      </w:r>
      <w:r w:rsidR="00F8113B" w:rsidRPr="0066336F">
        <w:rPr>
          <w:rFonts w:ascii="Times New Roman" w:hAnsi="Times New Roman"/>
          <w:sz w:val="20"/>
          <w:szCs w:val="20"/>
        </w:rPr>
        <w:t xml:space="preserve"> o Registro de Direito Autoral registrado no CAU/RS sob o nº </w:t>
      </w:r>
      <w:r w:rsidR="00485D41">
        <w:rPr>
          <w:rFonts w:ascii="Times New Roman" w:hAnsi="Times New Roman"/>
          <w:sz w:val="20"/>
          <w:szCs w:val="20"/>
        </w:rPr>
        <w:t>1740</w:t>
      </w:r>
      <w:r w:rsidR="00F8113B" w:rsidRPr="0066336F">
        <w:rPr>
          <w:rFonts w:ascii="Times New Roman" w:hAnsi="Times New Roman"/>
          <w:sz w:val="20"/>
          <w:szCs w:val="20"/>
        </w:rPr>
        <w:t>.</w:t>
      </w:r>
    </w:p>
    <w:p w:rsidR="00C4107B" w:rsidRPr="0066336F" w:rsidRDefault="00C4107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7439AB" w:rsidRPr="00802321" w:rsidRDefault="007439AB" w:rsidP="007439A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802321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prerrogativas de que trata o artigo 29, inciso XVIII do Regimento Interno do CAU/RS reunido ordinariamente em Porto Alegre - RS, na sede do CAU/RS, no dia 25 de outubro de 2019, após análise do assunto em epígrafe, e</w:t>
      </w:r>
      <w:r w:rsidRPr="00802321">
        <w:rPr>
          <w:rFonts w:ascii="Times New Roman" w:hAnsi="Times New Roman"/>
          <w:sz w:val="22"/>
          <w:szCs w:val="22"/>
          <w:lang w:eastAsia="pt-BR"/>
        </w:rPr>
        <w:tab/>
      </w:r>
    </w:p>
    <w:p w:rsidR="007439AB" w:rsidRPr="00117F6A" w:rsidRDefault="007439AB" w:rsidP="007439A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o artigo 7º, X, da Lei n.º 9.610/1998, dispõe: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(...)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 xml:space="preserve">X - os projetos, esboços e obras plásticas concernentes à geografia, engenharia, </w:t>
      </w:r>
      <w:proofErr w:type="gramStart"/>
      <w:r w:rsidRPr="00CA75CD">
        <w:rPr>
          <w:rFonts w:ascii="Times New Roman" w:hAnsi="Times New Roman"/>
          <w:sz w:val="22"/>
          <w:szCs w:val="22"/>
        </w:rPr>
        <w:t>topografia</w:t>
      </w:r>
      <w:proofErr w:type="gramEnd"/>
      <w:r w:rsidRPr="00CA75CD">
        <w:rPr>
          <w:rFonts w:ascii="Times New Roman" w:hAnsi="Times New Roman"/>
          <w:sz w:val="22"/>
          <w:szCs w:val="22"/>
        </w:rPr>
        <w:t>, arquitetura, paisagismo, cenografia e ciência;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(...)”.</w:t>
      </w: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a Resolução n.º 67 do CAU/BR determina, em seus artigos 8º e 9º que: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8° O registro deverá ser solicitado pelo arquiteto e urbanista por meio de requerimento específico disponível no ambiente profissional do Sistema de Informação e Comunicação do Conselho de Arquitetura e Urbanismo (SICCAU).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Parágrafo único. O requerimento a que se refere o caput deverá ser instruído com cópia, certificada digitalmente, do correspondente projeto ou trabalho técnico de criação em Arquitetura e Urbanismo, com descrição de suas características essenciais.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Art. 9° O requerimento constituirá processo administrativo a ser submetido à apreciação da Comissão de Exercício Profissional do Conselho de Arquitetura e Urbanismo da Unidade da Federação (CEP-CAU/UF) pertinente, que, após o exame dos autos, deliberará acerca do registro requerido.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1° A CEP-CAU/UF, quando julgar necessário, poderá efetuar diligências ou requisitar outros documentos para subsidiar sua análise e decisão acerca da matéria.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2° Caso não exista CEP no CAU/UF pertinente, a matéria passará à competência da instância do Conselho que possua as atribuições dessa comissão, ou, não havendo tal instância, será submetida à apreciação e deliberação do Plenário do Conselho.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3° É competente para o registro de obra intelectual de Arquitetura e Urbanismo o CAU/UF do local da residência do arquiteto e urbanista requerente”.</w:t>
      </w: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a Deliberação Plenária n.º 600/2016, que homologou o Termo de Responsabilidade a ser assinado pelo Requerente do Registro de Direito Autoral;</w:t>
      </w: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o artigo 12, da Resolução nº 67 do CAU/BR, determina que: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12. Deferido o registro, este será cadastrado no SICCAU com os seguintes dados: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 - número de ordem;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II - data do registro;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III - identificação do autor ou, se for o caso, dos coautores;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IV - identificação e descrição da obra intelectual registrada”.</w:t>
      </w: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 xml:space="preserve">Considerando, por fim a Deliberação nº </w:t>
      </w:r>
      <w:r w:rsidR="00485D41">
        <w:rPr>
          <w:rFonts w:ascii="Times New Roman" w:hAnsi="Times New Roman"/>
          <w:sz w:val="22"/>
          <w:szCs w:val="22"/>
        </w:rPr>
        <w:t>062</w:t>
      </w:r>
      <w:r w:rsidRPr="00CA75CD">
        <w:rPr>
          <w:rFonts w:ascii="Times New Roman" w:hAnsi="Times New Roman"/>
          <w:sz w:val="22"/>
          <w:szCs w:val="22"/>
        </w:rPr>
        <w:t>/201</w:t>
      </w:r>
      <w:r w:rsidR="001416EB">
        <w:rPr>
          <w:rFonts w:ascii="Times New Roman" w:hAnsi="Times New Roman"/>
          <w:sz w:val="22"/>
          <w:szCs w:val="22"/>
        </w:rPr>
        <w:t xml:space="preserve">9 </w:t>
      </w:r>
      <w:r w:rsidR="00240D7B" w:rsidRPr="00CA75CD">
        <w:rPr>
          <w:rFonts w:ascii="Times New Roman" w:hAnsi="Times New Roman"/>
          <w:sz w:val="22"/>
          <w:szCs w:val="22"/>
        </w:rPr>
        <w:t xml:space="preserve">CEP-CAU/RS </w:t>
      </w:r>
      <w:r w:rsidR="004C4BF3" w:rsidRPr="00CA75CD">
        <w:rPr>
          <w:rFonts w:ascii="Times New Roman" w:hAnsi="Times New Roman"/>
          <w:sz w:val="22"/>
          <w:szCs w:val="22"/>
        </w:rPr>
        <w:t xml:space="preserve">que deferiu o </w:t>
      </w:r>
      <w:r w:rsidRPr="00CA75CD">
        <w:rPr>
          <w:rFonts w:ascii="Times New Roman" w:hAnsi="Times New Roman"/>
          <w:sz w:val="22"/>
          <w:szCs w:val="22"/>
        </w:rPr>
        <w:t xml:space="preserve">Registro de Direito Autoral registrado sob o n.º </w:t>
      </w:r>
      <w:r w:rsidR="00485D41">
        <w:rPr>
          <w:rFonts w:ascii="Times New Roman" w:hAnsi="Times New Roman"/>
          <w:sz w:val="22"/>
          <w:szCs w:val="22"/>
        </w:rPr>
        <w:t>1740</w:t>
      </w:r>
      <w:r w:rsidR="00240D7B">
        <w:rPr>
          <w:rFonts w:ascii="Times New Roman" w:hAnsi="Times New Roman"/>
          <w:sz w:val="22"/>
          <w:szCs w:val="22"/>
        </w:rPr>
        <w:t xml:space="preserve"> </w:t>
      </w:r>
      <w:r w:rsidRPr="00CA75CD">
        <w:rPr>
          <w:rFonts w:ascii="Times New Roman" w:hAnsi="Times New Roman"/>
          <w:sz w:val="22"/>
          <w:szCs w:val="22"/>
        </w:rPr>
        <w:t>no CAU/RS.</w:t>
      </w:r>
    </w:p>
    <w:p w:rsidR="008A6E88" w:rsidRPr="00CA75CD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CA75CD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CA75CD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CA75CD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CA75CD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4C4BF3" w:rsidRPr="00CA75CD" w:rsidRDefault="0077236B" w:rsidP="007439AB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 xml:space="preserve">Homologar </w:t>
      </w:r>
      <w:r w:rsidR="004C4BF3" w:rsidRPr="00CA75CD">
        <w:rPr>
          <w:rFonts w:ascii="Times New Roman" w:hAnsi="Times New Roman"/>
          <w:sz w:val="22"/>
          <w:szCs w:val="22"/>
        </w:rPr>
        <w:t xml:space="preserve">o Registro de Direito Autoral registrado no CAU/RS sob o n.º </w:t>
      </w:r>
      <w:r w:rsidR="00485D41">
        <w:rPr>
          <w:rFonts w:ascii="Times New Roman" w:hAnsi="Times New Roman"/>
          <w:sz w:val="22"/>
          <w:szCs w:val="22"/>
        </w:rPr>
        <w:t>1740</w:t>
      </w:r>
      <w:r w:rsidR="004C4BF3" w:rsidRPr="00CA75CD">
        <w:rPr>
          <w:rFonts w:ascii="Times New Roman" w:hAnsi="Times New Roman"/>
          <w:sz w:val="22"/>
          <w:szCs w:val="22"/>
        </w:rPr>
        <w:t xml:space="preserve">, </w:t>
      </w:r>
      <w:r w:rsidRPr="00CA75CD">
        <w:rPr>
          <w:rFonts w:ascii="Times New Roman" w:hAnsi="Times New Roman"/>
          <w:sz w:val="22"/>
          <w:szCs w:val="22"/>
        </w:rPr>
        <w:t>confor</w:t>
      </w:r>
      <w:r w:rsidR="007439AB">
        <w:rPr>
          <w:rFonts w:ascii="Times New Roman" w:hAnsi="Times New Roman"/>
          <w:sz w:val="22"/>
          <w:szCs w:val="22"/>
        </w:rPr>
        <w:t>me requerimento apresentado pela</w:t>
      </w:r>
      <w:r w:rsidRPr="00CA75CD">
        <w:rPr>
          <w:rFonts w:ascii="Times New Roman" w:hAnsi="Times New Roman"/>
          <w:sz w:val="22"/>
          <w:szCs w:val="22"/>
        </w:rPr>
        <w:t xml:space="preserve"> </w:t>
      </w:r>
      <w:r w:rsidR="005710BD" w:rsidRPr="00CA75CD">
        <w:rPr>
          <w:rFonts w:ascii="Times New Roman" w:hAnsi="Times New Roman"/>
          <w:sz w:val="22"/>
          <w:szCs w:val="22"/>
        </w:rPr>
        <w:t>Arq</w:t>
      </w:r>
      <w:r w:rsidR="007439AB">
        <w:rPr>
          <w:rFonts w:ascii="Times New Roman" w:hAnsi="Times New Roman"/>
          <w:sz w:val="22"/>
          <w:szCs w:val="22"/>
        </w:rPr>
        <w:t xml:space="preserve">uiteta </w:t>
      </w:r>
      <w:r w:rsidRPr="00CA75CD">
        <w:rPr>
          <w:rFonts w:ascii="Times New Roman" w:hAnsi="Times New Roman"/>
          <w:sz w:val="22"/>
          <w:szCs w:val="22"/>
        </w:rPr>
        <w:t xml:space="preserve">e Urbanista </w:t>
      </w:r>
      <w:r w:rsidR="007439AB" w:rsidRPr="007439AB">
        <w:rPr>
          <w:rFonts w:ascii="Times New Roman" w:hAnsi="Times New Roman"/>
          <w:sz w:val="22"/>
          <w:szCs w:val="22"/>
        </w:rPr>
        <w:t>LAURA LANSINI CAPELARI</w:t>
      </w:r>
      <w:r w:rsidR="00240D7B">
        <w:rPr>
          <w:rFonts w:ascii="Times New Roman" w:hAnsi="Times New Roman"/>
          <w:sz w:val="22"/>
          <w:szCs w:val="22"/>
        </w:rPr>
        <w:t xml:space="preserve">, </w:t>
      </w:r>
      <w:r w:rsidR="007439AB">
        <w:rPr>
          <w:rFonts w:ascii="Times New Roman" w:hAnsi="Times New Roman"/>
          <w:sz w:val="22"/>
          <w:szCs w:val="22"/>
        </w:rPr>
        <w:t>re</w:t>
      </w:r>
      <w:r w:rsidR="007439AB" w:rsidRPr="00573018">
        <w:rPr>
          <w:rFonts w:ascii="Times New Roman" w:hAnsi="Times New Roman"/>
          <w:sz w:val="22"/>
          <w:szCs w:val="22"/>
        </w:rPr>
        <w:t xml:space="preserve">gistro CAU n° </w:t>
      </w:r>
      <w:r w:rsidR="007439AB" w:rsidRPr="003D2D47">
        <w:rPr>
          <w:rFonts w:ascii="Times New Roman" w:hAnsi="Times New Roman"/>
          <w:sz w:val="22"/>
          <w:szCs w:val="22"/>
        </w:rPr>
        <w:t>A72194-8</w:t>
      </w:r>
      <w:r w:rsidR="007439AB" w:rsidRPr="00573018">
        <w:rPr>
          <w:rFonts w:ascii="Times New Roman" w:hAnsi="Times New Roman"/>
          <w:sz w:val="22"/>
          <w:szCs w:val="22"/>
        </w:rPr>
        <w:t xml:space="preserve">, protocolado em </w:t>
      </w:r>
      <w:r w:rsidR="007439AB" w:rsidRPr="003D2D47">
        <w:rPr>
          <w:rFonts w:ascii="Times New Roman" w:hAnsi="Times New Roman"/>
          <w:sz w:val="22"/>
          <w:szCs w:val="22"/>
        </w:rPr>
        <w:t>17 de setembro de 2019</w:t>
      </w:r>
      <w:r w:rsidR="007439AB">
        <w:rPr>
          <w:rFonts w:ascii="Times New Roman" w:hAnsi="Times New Roman"/>
          <w:sz w:val="22"/>
          <w:szCs w:val="22"/>
          <w:lang w:eastAsia="pt-BR"/>
        </w:rPr>
        <w:t>;</w:t>
      </w:r>
    </w:p>
    <w:p w:rsidR="004C4BF3" w:rsidRDefault="004C4BF3" w:rsidP="004C4BF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Determinar a assinatura do Termo de Responsabilidade pelo Requerente e cadastro do Registro de Direito Autoral no SICCAU, na fo</w:t>
      </w:r>
      <w:r w:rsidR="005710BD" w:rsidRPr="00CA75CD">
        <w:rPr>
          <w:rFonts w:ascii="Times New Roman" w:hAnsi="Times New Roman"/>
          <w:sz w:val="22"/>
          <w:szCs w:val="22"/>
        </w:rPr>
        <w:t>rma do artigo 12 da Resolução n</w:t>
      </w:r>
      <w:r w:rsidRPr="00CA75CD">
        <w:rPr>
          <w:rFonts w:ascii="Times New Roman" w:hAnsi="Times New Roman"/>
          <w:sz w:val="22"/>
          <w:szCs w:val="22"/>
        </w:rPr>
        <w:t>º 67 do CAU/BR.</w:t>
      </w:r>
    </w:p>
    <w:p w:rsidR="00B65CE8" w:rsidRPr="00735D6B" w:rsidRDefault="00B65CE8" w:rsidP="00B65CE8">
      <w:pPr>
        <w:pStyle w:val="PargrafodaLista"/>
        <w:numPr>
          <w:ilvl w:val="0"/>
          <w:numId w:val="8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esta deliberação para publicação no site do CAU/RS.</w:t>
      </w:r>
    </w:p>
    <w:p w:rsidR="0066336F" w:rsidRPr="00CA75CD" w:rsidRDefault="0066336F" w:rsidP="0066336F">
      <w:pPr>
        <w:pStyle w:val="PargrafodaLista"/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24A49" w:rsidRPr="00CA75CD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CA75CD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CA75CD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439AB" w:rsidRPr="00802321" w:rsidRDefault="007439AB" w:rsidP="007439AB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802321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485D41">
        <w:rPr>
          <w:rFonts w:ascii="Times New Roman" w:hAnsi="Times New Roman"/>
          <w:sz w:val="22"/>
          <w:szCs w:val="22"/>
          <w:lang w:eastAsia="pt-BR"/>
        </w:rPr>
        <w:t>13</w:t>
      </w:r>
      <w:r w:rsidRPr="00802321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485D41">
        <w:rPr>
          <w:rFonts w:ascii="Times New Roman" w:hAnsi="Times New Roman"/>
          <w:sz w:val="22"/>
          <w:szCs w:val="22"/>
          <w:lang w:eastAsia="pt-BR"/>
        </w:rPr>
        <w:t>treze</w:t>
      </w:r>
      <w:r w:rsidRPr="00802321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802321">
        <w:rPr>
          <w:rFonts w:ascii="Times New Roman" w:hAnsi="Times New Roman"/>
          <w:sz w:val="22"/>
          <w:szCs w:val="22"/>
        </w:rPr>
        <w:t xml:space="preserve">Alvino Jara, Claudio Fischer, Carlos Fabiano Santos Pitzer, Helenice Macedo do Couto, José Arthur Fell, Manoel Joaquim Tostes, </w:t>
      </w:r>
      <w:r w:rsidR="00485D41" w:rsidRPr="00802321">
        <w:rPr>
          <w:rFonts w:ascii="Times New Roman" w:hAnsi="Times New Roman"/>
          <w:sz w:val="22"/>
          <w:szCs w:val="22"/>
        </w:rPr>
        <w:t xml:space="preserve">Matias Revello Vazquez, </w:t>
      </w:r>
      <w:r w:rsidRPr="00802321">
        <w:rPr>
          <w:rFonts w:ascii="Times New Roman" w:hAnsi="Times New Roman"/>
          <w:sz w:val="22"/>
          <w:szCs w:val="22"/>
        </w:rPr>
        <w:t xml:space="preserve">Roberta Krahe Edelweiss, Oritz Adriano Adams de Campos, Paulo Fernando do Amaral Fontana, Paulo Ricardo Bregatto, Emilio Merino Dominguez, Raquel Rhoden Bresolin, Rodrigo Spinelli e </w:t>
      </w:r>
      <w:r w:rsidR="00485D41">
        <w:rPr>
          <w:rFonts w:ascii="Times New Roman" w:hAnsi="Times New Roman"/>
          <w:sz w:val="22"/>
          <w:szCs w:val="22"/>
        </w:rPr>
        <w:t>05</w:t>
      </w:r>
      <w:r w:rsidRPr="00802321">
        <w:rPr>
          <w:rFonts w:ascii="Times New Roman" w:hAnsi="Times New Roman"/>
          <w:sz w:val="22"/>
          <w:szCs w:val="22"/>
        </w:rPr>
        <w:t xml:space="preserve"> (</w:t>
      </w:r>
      <w:r w:rsidR="00485D41">
        <w:rPr>
          <w:rFonts w:ascii="Times New Roman" w:hAnsi="Times New Roman"/>
          <w:sz w:val="22"/>
          <w:szCs w:val="22"/>
        </w:rPr>
        <w:t>cinco</w:t>
      </w:r>
      <w:r w:rsidRPr="00802321">
        <w:rPr>
          <w:rFonts w:ascii="Times New Roman" w:hAnsi="Times New Roman"/>
          <w:sz w:val="22"/>
          <w:szCs w:val="22"/>
        </w:rPr>
        <w:t xml:space="preserve">) ausências dos Conselheiros Marcia Elizabeth Martins, Magali Mingotti, Jorge </w:t>
      </w:r>
      <w:proofErr w:type="spellStart"/>
      <w:r w:rsidRPr="00802321">
        <w:rPr>
          <w:rFonts w:ascii="Times New Roman" w:hAnsi="Times New Roman"/>
          <w:sz w:val="22"/>
          <w:szCs w:val="22"/>
        </w:rPr>
        <w:t>Luíz</w:t>
      </w:r>
      <w:proofErr w:type="spellEnd"/>
      <w:r w:rsidRPr="00802321">
        <w:rPr>
          <w:rFonts w:ascii="Times New Roman" w:hAnsi="Times New Roman"/>
          <w:sz w:val="22"/>
          <w:szCs w:val="22"/>
        </w:rPr>
        <w:t xml:space="preserve"> Stocker Júnior, Roberta Krahe Edelweiss e Rui Mineiro.</w:t>
      </w:r>
    </w:p>
    <w:p w:rsidR="007439AB" w:rsidRPr="00802321" w:rsidRDefault="007439AB" w:rsidP="007439AB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7439AB" w:rsidRPr="00802321" w:rsidRDefault="007439AB" w:rsidP="007439AB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02321">
        <w:rPr>
          <w:rFonts w:ascii="Times New Roman" w:hAnsi="Times New Roman"/>
          <w:sz w:val="22"/>
          <w:szCs w:val="22"/>
        </w:rPr>
        <w:t>Porto Alegre – RS, 25 de outubro de 2019.</w:t>
      </w:r>
    </w:p>
    <w:p w:rsidR="00240D7B" w:rsidRPr="00FB6C18" w:rsidRDefault="00240D7B" w:rsidP="00240D7B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240D7B" w:rsidRPr="00FB6C18" w:rsidRDefault="00240D7B" w:rsidP="00240D7B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240D7B" w:rsidRPr="00FB6C18" w:rsidRDefault="00240D7B" w:rsidP="00240D7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40D7B" w:rsidRPr="00FB6C18" w:rsidRDefault="00240D7B" w:rsidP="00240D7B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240D7B" w:rsidRPr="00FB6C18" w:rsidRDefault="00240D7B" w:rsidP="00240D7B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240D7B" w:rsidRDefault="00240D7B" w:rsidP="00240D7B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</w:p>
    <w:p w:rsidR="00240D7B" w:rsidRDefault="00240D7B" w:rsidP="00240D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</w:p>
    <w:p w:rsidR="007439AB" w:rsidRPr="00FB6C18" w:rsidRDefault="007439AB" w:rsidP="007439A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102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7439AB" w:rsidRPr="00FB6C18" w:rsidRDefault="007439AB" w:rsidP="007439A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439AB" w:rsidRPr="00FB6C18" w:rsidRDefault="007439AB" w:rsidP="007439A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439AB" w:rsidRPr="00FB6C18" w:rsidTr="00AD3FCB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7439AB" w:rsidRPr="00FB6C18" w:rsidTr="00AD3FCB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AB" w:rsidRPr="00FB6C18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485D41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485D41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 xml:space="preserve">Rui Mineiro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439AB" w:rsidRPr="00FB6C18" w:rsidTr="00AD3FC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802321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802321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39AB" w:rsidRPr="00802321" w:rsidRDefault="007439AB" w:rsidP="00AD3F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32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240D7B" w:rsidRPr="008D7E43" w:rsidRDefault="00240D7B" w:rsidP="00240D7B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240D7B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40D7B" w:rsidRPr="00DC3F32" w:rsidRDefault="00240D7B" w:rsidP="00B12C70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240D7B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40D7B" w:rsidRPr="00DC3F32" w:rsidRDefault="00240D7B" w:rsidP="00B12C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DB37FE"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</w:p>
        </w:tc>
      </w:tr>
      <w:tr w:rsidR="00240D7B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40D7B" w:rsidRPr="00F91FFF" w:rsidRDefault="00240D7B" w:rsidP="00B12C7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DB37FE">
              <w:rPr>
                <w:rFonts w:ascii="Times New Roman" w:hAnsi="Times New Roman"/>
                <w:sz w:val="20"/>
                <w:szCs w:val="20"/>
              </w:rPr>
              <w:t>25</w:t>
            </w:r>
            <w:r w:rsidRPr="00DB37FE">
              <w:rPr>
                <w:rFonts w:ascii="Times New Roman" w:hAnsi="Times New Roman"/>
                <w:sz w:val="20"/>
                <w:szCs w:val="20"/>
              </w:rPr>
              <w:t>/</w:t>
            </w:r>
            <w:r w:rsidR="00DB37FE">
              <w:rPr>
                <w:rFonts w:ascii="Times New Roman" w:hAnsi="Times New Roman"/>
                <w:sz w:val="20"/>
                <w:szCs w:val="20"/>
              </w:rPr>
              <w:t>10</w:t>
            </w:r>
            <w:r w:rsidRPr="00DB37FE">
              <w:rPr>
                <w:rFonts w:ascii="Times New Roman" w:hAnsi="Times New Roman"/>
                <w:sz w:val="20"/>
                <w:szCs w:val="20"/>
              </w:rPr>
              <w:t>/2019</w:t>
            </w:r>
          </w:p>
          <w:p w:rsidR="00240D7B" w:rsidRDefault="00240D7B" w:rsidP="00B12C70">
            <w:pPr>
              <w:tabs>
                <w:tab w:val="left" w:pos="1252"/>
              </w:tabs>
              <w:jc w:val="both"/>
              <w:rPr>
                <w:rFonts w:ascii="Times New Roman" w:hAnsi="Times New Roman"/>
                <w:sz w:val="20"/>
              </w:rPr>
            </w:pPr>
            <w:r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 Nº </w:t>
            </w:r>
            <w:r w:rsidR="00761F85">
              <w:rPr>
                <w:rFonts w:ascii="Times New Roman" w:hAnsi="Times New Roman"/>
                <w:b/>
                <w:sz w:val="20"/>
                <w:szCs w:val="20"/>
              </w:rPr>
              <w:t>1097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6336F">
              <w:rPr>
                <w:rFonts w:ascii="Times New Roman" w:hAnsi="Times New Roman"/>
                <w:sz w:val="20"/>
                <w:szCs w:val="20"/>
              </w:rPr>
              <w:t xml:space="preserve">Homologa o Registro de Direito Autoral registrado no CAU/RS sob o nº </w:t>
            </w:r>
            <w:r w:rsidR="00EA2490">
              <w:rPr>
                <w:rFonts w:ascii="Times New Roman" w:hAnsi="Times New Roman"/>
                <w:sz w:val="20"/>
                <w:szCs w:val="20"/>
              </w:rPr>
              <w:t>1740</w:t>
            </w:r>
            <w:r w:rsidRPr="00F91FFF">
              <w:rPr>
                <w:rFonts w:ascii="Times New Roman" w:hAnsi="Times New Roman"/>
                <w:sz w:val="20"/>
              </w:rPr>
              <w:t>.</w:t>
            </w:r>
          </w:p>
          <w:p w:rsidR="00240D7B" w:rsidRPr="00DC3F32" w:rsidRDefault="00240D7B" w:rsidP="00B12C70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240D7B" w:rsidRPr="00DC3F32" w:rsidTr="00B12C70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240D7B" w:rsidRPr="00DC3F32" w:rsidRDefault="00240D7B" w:rsidP="00485D4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85D41">
              <w:rPr>
                <w:rFonts w:ascii="Times New Roman" w:hAnsi="Times New Roman"/>
                <w:sz w:val="20"/>
                <w:szCs w:val="20"/>
              </w:rPr>
              <w:t>13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485D41">
              <w:rPr>
                <w:rFonts w:ascii="Times New Roman" w:hAnsi="Times New Roman"/>
                <w:sz w:val="20"/>
                <w:szCs w:val="20"/>
              </w:rPr>
              <w:t>05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40D7B" w:rsidRPr="00DC3F32" w:rsidTr="00B12C70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40D7B" w:rsidRPr="00DC3F32" w:rsidRDefault="00240D7B" w:rsidP="00B12C70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240D7B" w:rsidRPr="00DC3F32" w:rsidTr="00B12C70">
        <w:trPr>
          <w:trHeight w:val="257"/>
        </w:trPr>
        <w:tc>
          <w:tcPr>
            <w:tcW w:w="4530" w:type="dxa"/>
            <w:shd w:val="clear" w:color="auto" w:fill="D9D9D9"/>
          </w:tcPr>
          <w:p w:rsidR="00240D7B" w:rsidRPr="00DC3F32" w:rsidRDefault="00240D7B" w:rsidP="00B12C70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240D7B" w:rsidRPr="00DC3F32" w:rsidRDefault="00240D7B" w:rsidP="00B12C7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240D7B" w:rsidRPr="00CF010E" w:rsidRDefault="00240D7B" w:rsidP="00240D7B">
      <w:pPr>
        <w:ind w:right="842"/>
        <w:jc w:val="both"/>
        <w:rPr>
          <w:rFonts w:ascii="Times New Roman" w:hAnsi="Times New Roman"/>
          <w:sz w:val="22"/>
        </w:rPr>
      </w:pPr>
    </w:p>
    <w:p w:rsidR="00240D7B" w:rsidRPr="00C67F40" w:rsidRDefault="00240D7B" w:rsidP="00240D7B">
      <w:pPr>
        <w:jc w:val="center"/>
        <w:rPr>
          <w:rFonts w:ascii="Times New Roman" w:hAnsi="Times New Roman"/>
        </w:rPr>
      </w:pPr>
    </w:p>
    <w:p w:rsidR="00240D7B" w:rsidRPr="00124A49" w:rsidRDefault="00240D7B" w:rsidP="00240D7B">
      <w:pPr>
        <w:jc w:val="center"/>
        <w:rPr>
          <w:rFonts w:ascii="Times New Roman" w:hAnsi="Times New Roman"/>
          <w:sz w:val="22"/>
          <w:szCs w:val="22"/>
        </w:rPr>
      </w:pPr>
    </w:p>
    <w:p w:rsidR="00D213CD" w:rsidRPr="00124A49" w:rsidRDefault="00D213CD" w:rsidP="00240D7B">
      <w:pPr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663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F8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F8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-885691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-849262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416EB"/>
    <w:rsid w:val="001547D9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40D7B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247CC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2EA6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5E09"/>
    <w:rsid w:val="00426A82"/>
    <w:rsid w:val="00433DE0"/>
    <w:rsid w:val="004355BD"/>
    <w:rsid w:val="00443AA4"/>
    <w:rsid w:val="00447C6C"/>
    <w:rsid w:val="00453128"/>
    <w:rsid w:val="00471056"/>
    <w:rsid w:val="00483414"/>
    <w:rsid w:val="00485D41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31F08"/>
    <w:rsid w:val="0053235E"/>
    <w:rsid w:val="0053240A"/>
    <w:rsid w:val="005461A2"/>
    <w:rsid w:val="00560C0D"/>
    <w:rsid w:val="005615DC"/>
    <w:rsid w:val="00564054"/>
    <w:rsid w:val="00565889"/>
    <w:rsid w:val="005710BD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336F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439AB"/>
    <w:rsid w:val="0075194D"/>
    <w:rsid w:val="00761F85"/>
    <w:rsid w:val="0076286B"/>
    <w:rsid w:val="007723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4655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572DD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52EDF"/>
    <w:rsid w:val="00B6066A"/>
    <w:rsid w:val="00B63C2E"/>
    <w:rsid w:val="00B65CE8"/>
    <w:rsid w:val="00B73A02"/>
    <w:rsid w:val="00B81197"/>
    <w:rsid w:val="00BB5E13"/>
    <w:rsid w:val="00BC73B6"/>
    <w:rsid w:val="00BD2BF1"/>
    <w:rsid w:val="00BE5920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A75CD"/>
    <w:rsid w:val="00CB4643"/>
    <w:rsid w:val="00CC5EB2"/>
    <w:rsid w:val="00CD0E69"/>
    <w:rsid w:val="00CE44FE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05EB"/>
    <w:rsid w:val="00D9535A"/>
    <w:rsid w:val="00DB0CAD"/>
    <w:rsid w:val="00DB37FE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0794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490"/>
    <w:rsid w:val="00EA3FB2"/>
    <w:rsid w:val="00EA593B"/>
    <w:rsid w:val="00EB1D18"/>
    <w:rsid w:val="00EB2B05"/>
    <w:rsid w:val="00EB4AC7"/>
    <w:rsid w:val="00ED2108"/>
    <w:rsid w:val="00ED6C95"/>
    <w:rsid w:val="00EE14F5"/>
    <w:rsid w:val="00EE6135"/>
    <w:rsid w:val="00EE6DD1"/>
    <w:rsid w:val="00EF0624"/>
    <w:rsid w:val="00EF0E11"/>
    <w:rsid w:val="00F00BA3"/>
    <w:rsid w:val="00F106E3"/>
    <w:rsid w:val="00F11D97"/>
    <w:rsid w:val="00F2295D"/>
    <w:rsid w:val="00F271D7"/>
    <w:rsid w:val="00F3420B"/>
    <w:rsid w:val="00F34C54"/>
    <w:rsid w:val="00F46AB6"/>
    <w:rsid w:val="00F55E0C"/>
    <w:rsid w:val="00F62212"/>
    <w:rsid w:val="00F73135"/>
    <w:rsid w:val="00F8113B"/>
    <w:rsid w:val="00FA1A43"/>
    <w:rsid w:val="00FB372F"/>
    <w:rsid w:val="00FC6A2F"/>
    <w:rsid w:val="00FC73FB"/>
    <w:rsid w:val="00FD4628"/>
    <w:rsid w:val="00FE75C7"/>
    <w:rsid w:val="00FF167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240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DA55-D69F-4BF4-A802-FF2D9652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5</cp:revision>
  <cp:lastPrinted>2019-04-22T14:38:00Z</cp:lastPrinted>
  <dcterms:created xsi:type="dcterms:W3CDTF">2019-10-25T16:11:00Z</dcterms:created>
  <dcterms:modified xsi:type="dcterms:W3CDTF">2019-10-28T16:27:00Z</dcterms:modified>
</cp:coreProperties>
</file>