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53DA9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88776F" w:rsidP="008619E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385A57" w:rsidP="000652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="00065205" w:rsidRPr="00065205">
              <w:rPr>
                <w:rFonts w:ascii="Times New Roman" w:hAnsi="Times New Roman"/>
                <w:sz w:val="22"/>
                <w:szCs w:val="22"/>
              </w:rPr>
              <w:t>análise técnica quanto as atribuições dos técnicos industriais de nível médio com</w:t>
            </w:r>
            <w:r w:rsidR="000652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5205" w:rsidRPr="00065205">
              <w:rPr>
                <w:rFonts w:ascii="Times New Roman" w:hAnsi="Times New Roman"/>
                <w:sz w:val="22"/>
                <w:szCs w:val="22"/>
              </w:rPr>
              <w:t>habilitação em edificações no que se refere ao serviço de regularização de obra</w:t>
            </w:r>
            <w:r w:rsidR="00065205">
              <w:rPr>
                <w:rFonts w:ascii="Arial" w:eastAsiaTheme="minorHAnsi" w:hAnsi="Arial" w:cs="Arial"/>
                <w:sz w:val="16"/>
                <w:szCs w:val="16"/>
              </w:rPr>
              <w:t>.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65205">
        <w:rPr>
          <w:rFonts w:ascii="Times New Roman" w:hAnsi="Times New Roman"/>
          <w:sz w:val="22"/>
          <w:szCs w:val="22"/>
          <w:lang w:eastAsia="pt-BR"/>
        </w:rPr>
        <w:t>1087</w:t>
      </w:r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9F76ED" w:rsidRPr="00A16D37" w:rsidRDefault="00065205" w:rsidP="00A16D37">
      <w:pPr>
        <w:ind w:left="4956"/>
        <w:jc w:val="both"/>
        <w:rPr>
          <w:rFonts w:ascii="Times New Roman" w:hAnsi="Times New Roman"/>
          <w:sz w:val="22"/>
          <w:szCs w:val="22"/>
        </w:rPr>
      </w:pPr>
      <w:r w:rsidRPr="00A16D37">
        <w:rPr>
          <w:rFonts w:ascii="Times New Roman" w:hAnsi="Times New Roman"/>
          <w:sz w:val="22"/>
          <w:szCs w:val="22"/>
        </w:rPr>
        <w:t>Homologa análise técnica quanto as atribuições dos técnicos industriais de nível médio com habilitação em edificações no que se refere ao serviço de regularização de obra</w:t>
      </w:r>
      <w:r w:rsidR="00385A57" w:rsidRPr="00A16D37">
        <w:rPr>
          <w:rFonts w:ascii="Times New Roman" w:hAnsi="Times New Roman"/>
          <w:sz w:val="22"/>
          <w:szCs w:val="22"/>
        </w:rPr>
        <w:t>.</w:t>
      </w:r>
    </w:p>
    <w:p w:rsidR="00385A57" w:rsidRPr="00A16D37" w:rsidRDefault="00385A57" w:rsidP="00A16D37">
      <w:pPr>
        <w:ind w:left="4956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A16D37" w:rsidRDefault="00D53DA9" w:rsidP="00A16D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D37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84ABD" w:rsidRPr="00A16D37">
        <w:rPr>
          <w:rFonts w:ascii="Times New Roman" w:hAnsi="Times New Roman"/>
          <w:sz w:val="22"/>
          <w:szCs w:val="22"/>
        </w:rPr>
        <w:t>27</w:t>
      </w:r>
      <w:r w:rsidR="008A59CF" w:rsidRPr="00A16D37">
        <w:rPr>
          <w:rFonts w:ascii="Times New Roman" w:hAnsi="Times New Roman"/>
          <w:sz w:val="22"/>
          <w:szCs w:val="22"/>
        </w:rPr>
        <w:t xml:space="preserve"> de </w:t>
      </w:r>
      <w:r w:rsidR="00D84ABD" w:rsidRPr="00A16D37">
        <w:rPr>
          <w:rFonts w:ascii="Times New Roman" w:hAnsi="Times New Roman"/>
          <w:sz w:val="22"/>
          <w:szCs w:val="22"/>
        </w:rPr>
        <w:t xml:space="preserve">setembro </w:t>
      </w:r>
      <w:r w:rsidR="008A59CF" w:rsidRPr="00A16D37">
        <w:rPr>
          <w:rFonts w:ascii="Times New Roman" w:hAnsi="Times New Roman"/>
          <w:sz w:val="22"/>
          <w:szCs w:val="22"/>
        </w:rPr>
        <w:t>de 2019</w:t>
      </w:r>
      <w:r w:rsidRPr="00A16D37">
        <w:rPr>
          <w:rFonts w:ascii="Times New Roman" w:hAnsi="Times New Roman"/>
          <w:sz w:val="22"/>
          <w:szCs w:val="22"/>
        </w:rPr>
        <w:t xml:space="preserve">; </w:t>
      </w:r>
    </w:p>
    <w:p w:rsidR="008A7323" w:rsidRPr="00A16D37" w:rsidRDefault="008A7323" w:rsidP="00A16D37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385A57" w:rsidRPr="00A16D37" w:rsidRDefault="00065205" w:rsidP="00F61245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A16D37">
        <w:rPr>
          <w:rFonts w:ascii="Times New Roman" w:eastAsia="Calibri" w:hAnsi="Times New Roman"/>
          <w:sz w:val="22"/>
          <w:szCs w:val="22"/>
        </w:rPr>
        <w:t>Considerando que técnico industrial é o profissional que possui formação escolar, obtida através da conclusão de curso regular e válido para o exercício da profissão e, diplomação por escola oficial autorizada ou reconhecida, de nível médio, regularmente constituída nos termos da Lei nº 4.024, de 20 DEZ 1961</w:t>
      </w:r>
      <w:r w:rsidR="00385A57" w:rsidRPr="00A16D37">
        <w:rPr>
          <w:rFonts w:ascii="Times New Roman" w:eastAsia="Calibri" w:hAnsi="Times New Roman"/>
          <w:sz w:val="22"/>
          <w:szCs w:val="22"/>
        </w:rPr>
        <w:t>;</w:t>
      </w:r>
    </w:p>
    <w:p w:rsidR="006E1A43" w:rsidRDefault="00065205" w:rsidP="00F61245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  <w:r w:rsidRPr="00A16D37">
        <w:rPr>
          <w:rFonts w:ascii="Times New Roman" w:eastAsia="Calibri" w:hAnsi="Times New Roman"/>
          <w:sz w:val="22"/>
          <w:szCs w:val="22"/>
        </w:rPr>
        <w:t>Considerando a Lei nº 5.524/1968, a qual dispõe sobre o exercício da profissão de técnico industrial de nível médio;</w:t>
      </w:r>
    </w:p>
    <w:p w:rsidR="00A16D37" w:rsidRPr="00A16D37" w:rsidRDefault="00A16D37" w:rsidP="00F61245">
      <w:pPr>
        <w:tabs>
          <w:tab w:val="left" w:pos="1418"/>
        </w:tabs>
        <w:jc w:val="both"/>
        <w:rPr>
          <w:rFonts w:ascii="Times New Roman" w:eastAsia="Calibri" w:hAnsi="Times New Roman"/>
          <w:sz w:val="22"/>
          <w:szCs w:val="22"/>
        </w:rPr>
      </w:pPr>
    </w:p>
    <w:p w:rsidR="00EA7B74" w:rsidRPr="00A16D37" w:rsidRDefault="00385A57" w:rsidP="00F61245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A16D37">
        <w:rPr>
          <w:rFonts w:ascii="Times New Roman" w:eastAsiaTheme="minorHAnsi" w:hAnsi="Times New Roman"/>
          <w:sz w:val="22"/>
          <w:szCs w:val="22"/>
        </w:rPr>
        <w:t xml:space="preserve">Considerando </w:t>
      </w:r>
      <w:r w:rsidR="00065205" w:rsidRPr="00A16D37">
        <w:rPr>
          <w:rFonts w:ascii="Times New Roman" w:eastAsiaTheme="minorHAnsi" w:hAnsi="Times New Roman"/>
          <w:sz w:val="22"/>
          <w:szCs w:val="22"/>
        </w:rPr>
        <w:t>Decreto Federal nº 90.922/1985 que regulamenta a Lei nº 5.524/1968, que dispõe sobre o exercício da profissão de técnico industrial e técnico agrícola de nível médio ou de 2º grau e os Artigos 3º e 4º do decreto estabelecem as competências e as atribuições dos técnicos industriais de 2° grau, em suas diversas modalidades, para efeito do exercício profissional e de sua fiscalização</w:t>
      </w:r>
      <w:r w:rsidRPr="00A16D37">
        <w:rPr>
          <w:rFonts w:ascii="Times New Roman" w:eastAsiaTheme="minorHAnsi" w:hAnsi="Times New Roman"/>
          <w:sz w:val="22"/>
          <w:szCs w:val="22"/>
        </w:rPr>
        <w:t>.</w:t>
      </w:r>
    </w:p>
    <w:p w:rsidR="00385A57" w:rsidRPr="00A16D37" w:rsidRDefault="00385A57" w:rsidP="00F61245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385A57" w:rsidRPr="00A16D37" w:rsidRDefault="00385A57" w:rsidP="00F6124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A16D37">
        <w:rPr>
          <w:rFonts w:ascii="Times New Roman" w:eastAsiaTheme="minorHAnsi" w:hAnsi="Times New Roman"/>
          <w:sz w:val="22"/>
          <w:szCs w:val="22"/>
        </w:rPr>
        <w:t xml:space="preserve">Considerando </w:t>
      </w:r>
      <w:r w:rsidR="00065205" w:rsidRPr="00A16D37">
        <w:rPr>
          <w:rFonts w:ascii="Times New Roman" w:eastAsiaTheme="minorHAnsi" w:hAnsi="Times New Roman"/>
          <w:sz w:val="22"/>
          <w:szCs w:val="22"/>
        </w:rPr>
        <w:t>a Lei Federal nº 13.639/2018, que cria o Conselho Federal dos Técnicos Industriais, o Conselho Federal dos Técnicos Agrícolas, os Conselhos Regionais dos Técnicos Industriais e os Conselhos Regionais dos Técnicos Agrícolas;</w:t>
      </w:r>
    </w:p>
    <w:p w:rsidR="00065205" w:rsidRPr="00A16D37" w:rsidRDefault="00065205" w:rsidP="00F6124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F61245" w:rsidRDefault="00065205" w:rsidP="00F6124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A16D37">
        <w:rPr>
          <w:rFonts w:ascii="Times New Roman" w:eastAsiaTheme="minorHAnsi" w:hAnsi="Times New Roman"/>
          <w:sz w:val="22"/>
          <w:szCs w:val="22"/>
        </w:rPr>
        <w:t>Considerando a Resolução nº 058/2019</w:t>
      </w:r>
      <w:r w:rsidR="00A16D37">
        <w:rPr>
          <w:rFonts w:ascii="Times New Roman" w:eastAsiaTheme="minorHAnsi" w:hAnsi="Times New Roman"/>
          <w:sz w:val="22"/>
          <w:szCs w:val="22"/>
        </w:rPr>
        <w:t xml:space="preserve"> </w:t>
      </w:r>
      <w:r w:rsidRPr="00A16D37">
        <w:rPr>
          <w:rFonts w:ascii="Times New Roman" w:eastAsiaTheme="minorHAnsi" w:hAnsi="Times New Roman"/>
          <w:sz w:val="22"/>
          <w:szCs w:val="22"/>
        </w:rPr>
        <w:t>do Conselho Federal dos Técnicos – CFT</w:t>
      </w:r>
      <w:r w:rsidR="00F61245">
        <w:rPr>
          <w:rFonts w:ascii="Times New Roman" w:eastAsiaTheme="minorHAnsi" w:hAnsi="Times New Roman"/>
          <w:sz w:val="22"/>
          <w:szCs w:val="22"/>
        </w:rPr>
        <w:t xml:space="preserve">, </w:t>
      </w:r>
      <w:r w:rsidRPr="00A16D37">
        <w:rPr>
          <w:rFonts w:ascii="Times New Roman" w:eastAsiaTheme="minorHAnsi" w:hAnsi="Times New Roman"/>
          <w:sz w:val="22"/>
          <w:szCs w:val="22"/>
        </w:rPr>
        <w:t>a qual define as prerrogativas e atribuições dos Técnicos</w:t>
      </w:r>
      <w:r w:rsidR="00F61245">
        <w:rPr>
          <w:rFonts w:ascii="Times New Roman" w:eastAsiaTheme="minorHAnsi" w:hAnsi="Times New Roman"/>
          <w:sz w:val="22"/>
          <w:szCs w:val="22"/>
        </w:rPr>
        <w:t xml:space="preserve"> </w:t>
      </w:r>
      <w:r w:rsidRPr="00A16D37">
        <w:rPr>
          <w:rFonts w:ascii="Times New Roman" w:eastAsiaTheme="minorHAnsi" w:hAnsi="Times New Roman"/>
          <w:sz w:val="22"/>
          <w:szCs w:val="22"/>
        </w:rPr>
        <w:t xml:space="preserve">Industriais </w:t>
      </w:r>
      <w:r w:rsidR="00F61245">
        <w:rPr>
          <w:rFonts w:ascii="Times New Roman" w:eastAsiaTheme="minorHAnsi" w:hAnsi="Times New Roman"/>
          <w:sz w:val="22"/>
          <w:szCs w:val="22"/>
        </w:rPr>
        <w:t>com habilitações em Edificações;</w:t>
      </w:r>
    </w:p>
    <w:p w:rsidR="00F61245" w:rsidRDefault="00F61245" w:rsidP="00F6124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F61245" w:rsidRDefault="00F61245" w:rsidP="00F612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16D37">
        <w:rPr>
          <w:rFonts w:ascii="Times New Roman" w:hAnsi="Times New Roman"/>
          <w:sz w:val="22"/>
          <w:szCs w:val="22"/>
        </w:rPr>
        <w:t>Considerando solicitação de esclarecimentos da Prefeitura Municipal de São Leopoldo/RS, quanto à abrangência das atribuições dos técnicos industriais de nível médio com habilitação em edificações no que concerne às atribuições compartilhadas com o campo de atuação profissional da arquitetura e urbanismo, especificamente, quanto a atividade de regularização de obra, conforme Termo de Responsabilidade Técnico - TRT enviado como anexo do ofício nº 31/2019;</w:t>
      </w:r>
    </w:p>
    <w:p w:rsidR="00385A57" w:rsidRDefault="00385A57" w:rsidP="00D53DA9">
      <w:pPr>
        <w:jc w:val="both"/>
        <w:rPr>
          <w:rFonts w:ascii="Times New Roman" w:eastAsiaTheme="minorHAnsi" w:hAnsi="Times New Roman"/>
          <w:sz w:val="22"/>
          <w:szCs w:val="22"/>
        </w:rPr>
      </w:pPr>
    </w:p>
    <w:p w:rsidR="00D53DA9" w:rsidRPr="009F1D59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AE5145" w:rsidRPr="00106E05" w:rsidRDefault="00385A57" w:rsidP="00F678B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06E05">
        <w:rPr>
          <w:rFonts w:ascii="Times New Roman" w:hAnsi="Times New Roman"/>
          <w:sz w:val="22"/>
          <w:szCs w:val="22"/>
        </w:rPr>
        <w:t>Homologa</w:t>
      </w:r>
      <w:r w:rsidR="00F61245" w:rsidRPr="00106E05">
        <w:rPr>
          <w:rFonts w:ascii="Times New Roman" w:hAnsi="Times New Roman"/>
          <w:sz w:val="22"/>
          <w:szCs w:val="22"/>
        </w:rPr>
        <w:t>r</w:t>
      </w:r>
      <w:r w:rsidRPr="00106E05">
        <w:rPr>
          <w:rFonts w:ascii="Times New Roman" w:hAnsi="Times New Roman"/>
          <w:sz w:val="22"/>
          <w:szCs w:val="22"/>
        </w:rPr>
        <w:t xml:space="preserve"> a </w:t>
      </w:r>
      <w:r w:rsidR="00F61245" w:rsidRPr="00106E05">
        <w:rPr>
          <w:rFonts w:ascii="Times New Roman" w:hAnsi="Times New Roman"/>
          <w:sz w:val="22"/>
          <w:szCs w:val="22"/>
        </w:rPr>
        <w:t>Análise</w:t>
      </w:r>
      <w:r w:rsidRPr="00106E05">
        <w:rPr>
          <w:rFonts w:ascii="Times New Roman" w:hAnsi="Times New Roman"/>
          <w:sz w:val="22"/>
          <w:szCs w:val="22"/>
        </w:rPr>
        <w:t xml:space="preserve"> Técnica nº 001/2019</w:t>
      </w:r>
      <w:r w:rsidR="00EF22D9" w:rsidRPr="00106E05">
        <w:rPr>
          <w:rFonts w:ascii="Times New Roman" w:hAnsi="Times New Roman"/>
          <w:sz w:val="22"/>
          <w:szCs w:val="22"/>
        </w:rPr>
        <w:t xml:space="preserve">, </w:t>
      </w:r>
      <w:r w:rsidR="00EF22D9" w:rsidRPr="00106E05">
        <w:rPr>
          <w:rFonts w:ascii="Times New Roman" w:eastAsiaTheme="minorHAnsi" w:hAnsi="Times New Roman"/>
          <w:sz w:val="22"/>
          <w:szCs w:val="22"/>
        </w:rPr>
        <w:t>conforme anexo desta Deliberação,</w:t>
      </w:r>
      <w:r w:rsidRPr="00106E05">
        <w:rPr>
          <w:rFonts w:ascii="Times New Roman" w:hAnsi="Times New Roman"/>
          <w:sz w:val="22"/>
          <w:szCs w:val="22"/>
        </w:rPr>
        <w:t xml:space="preserve"> que</w:t>
      </w:r>
      <w:r w:rsidR="00EF22D9" w:rsidRPr="00106E05">
        <w:rPr>
          <w:rFonts w:ascii="Times New Roman" w:hAnsi="Times New Roman"/>
          <w:sz w:val="22"/>
          <w:szCs w:val="22"/>
        </w:rPr>
        <w:t xml:space="preserve"> conclui que,</w:t>
      </w:r>
      <w:r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no sentido de afirmar que o</w:t>
      </w:r>
      <w:r w:rsidR="00106E05"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profissional técnico em edificações não possui atribuição técnica para a atividade de</w:t>
      </w:r>
      <w:r w:rsidR="00106E05"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regularização de edificação com área superior a 80m² e que, para o caso concreto, em análise</w:t>
      </w:r>
      <w:r w:rsidR="00106E05"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neste parecer, o técnico em questão está regularizando área muito superior ao limite máximo</w:t>
      </w:r>
      <w:r w:rsidR="00106E05"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previsto, incorrendo, sem margem para dúvidas, em exercício ilegal das profissões de</w:t>
      </w:r>
      <w:r w:rsidR="00106E05" w:rsidRPr="00106E05">
        <w:rPr>
          <w:rFonts w:ascii="Times New Roman" w:hAnsi="Times New Roman"/>
          <w:sz w:val="22"/>
          <w:szCs w:val="22"/>
        </w:rPr>
        <w:t xml:space="preserve"> </w:t>
      </w:r>
      <w:r w:rsidR="00106E05" w:rsidRPr="00106E05">
        <w:rPr>
          <w:rFonts w:ascii="Times New Roman" w:hAnsi="Times New Roman"/>
          <w:sz w:val="22"/>
          <w:szCs w:val="22"/>
        </w:rPr>
        <w:t>engenharia civil e arquitetura e urbanismo</w:t>
      </w:r>
      <w:r w:rsidR="00106E05">
        <w:rPr>
          <w:rFonts w:ascii="Times New Roman" w:hAnsi="Times New Roman"/>
          <w:sz w:val="22"/>
          <w:szCs w:val="22"/>
        </w:rPr>
        <w:t>;</w:t>
      </w:r>
    </w:p>
    <w:p w:rsidR="00C566DE" w:rsidRPr="009F1D59" w:rsidRDefault="00C566DE" w:rsidP="00C566DE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06E05" w:rsidRPr="00106E05" w:rsidRDefault="00EF22D9" w:rsidP="00106E05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Encaminhar esta deliberação à Gerência </w:t>
      </w:r>
      <w:r w:rsidR="00106E05">
        <w:rPr>
          <w:rFonts w:ascii="Times New Roman" w:hAnsi="Times New Roman"/>
          <w:sz w:val="22"/>
          <w:szCs w:val="22"/>
        </w:rPr>
        <w:t>Técnica</w:t>
      </w:r>
      <w:r>
        <w:rPr>
          <w:rFonts w:ascii="Times New Roman" w:hAnsi="Times New Roman"/>
          <w:sz w:val="22"/>
          <w:szCs w:val="22"/>
        </w:rPr>
        <w:t xml:space="preserve"> para </w:t>
      </w:r>
      <w:r w:rsidR="00106E05">
        <w:rPr>
          <w:rFonts w:ascii="Times New Roman" w:hAnsi="Times New Roman"/>
          <w:sz w:val="22"/>
          <w:szCs w:val="22"/>
        </w:rPr>
        <w:t>que seja minutado oficio à todas as prefeituras municipais do estado do Rio Grande do Sul, com orientações quanto ao tema, com base na análise técnica.</w:t>
      </w:r>
    </w:p>
    <w:p w:rsidR="00106E05" w:rsidRPr="00106E05" w:rsidRDefault="00106E05" w:rsidP="00106E05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D53DA9" w:rsidRPr="009F1D59" w:rsidRDefault="00D53DA9" w:rsidP="00106E05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F1D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9F1D59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EF22D9" w:rsidRDefault="00EF22D9" w:rsidP="00EF22D9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06E05">
        <w:rPr>
          <w:rFonts w:ascii="Times New Roman" w:hAnsi="Times New Roman"/>
          <w:sz w:val="22"/>
          <w:szCs w:val="22"/>
          <w:lang w:eastAsia="pt-BR"/>
        </w:rPr>
        <w:t>13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106E05">
        <w:rPr>
          <w:rFonts w:ascii="Times New Roman" w:hAnsi="Times New Roman"/>
          <w:sz w:val="22"/>
          <w:szCs w:val="22"/>
          <w:lang w:eastAsia="pt-BR"/>
        </w:rPr>
        <w:t>treze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</w:t>
      </w:r>
      <w:r>
        <w:rPr>
          <w:rFonts w:ascii="Times New Roman" w:hAnsi="Times New Roman"/>
          <w:sz w:val="22"/>
          <w:szCs w:val="22"/>
        </w:rPr>
        <w:t xml:space="preserve">edo do Couto, José Arthur Fell,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Oritz Adriano Adams de Campos, Pa</w:t>
      </w:r>
      <w:r>
        <w:rPr>
          <w:rFonts w:ascii="Times New Roman" w:hAnsi="Times New Roman"/>
          <w:sz w:val="22"/>
          <w:szCs w:val="22"/>
        </w:rPr>
        <w:t>ulo Fernando do Amaral Fontana, Emilio Merino Dominguez</w:t>
      </w:r>
      <w:r w:rsidR="00106E05">
        <w:rPr>
          <w:rFonts w:ascii="Times New Roman" w:hAnsi="Times New Roman"/>
          <w:sz w:val="22"/>
          <w:szCs w:val="22"/>
        </w:rPr>
        <w:t xml:space="preserve">, Rômulo Plentz Giralt, </w:t>
      </w:r>
      <w:r w:rsidRPr="009C5019">
        <w:rPr>
          <w:rFonts w:ascii="Times New Roman" w:hAnsi="Times New Roman"/>
          <w:sz w:val="22"/>
          <w:szCs w:val="22"/>
        </w:rPr>
        <w:t xml:space="preserve">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</w:t>
      </w:r>
      <w:r w:rsidR="00106E05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Manoel Joaquim Tostes</w:t>
      </w:r>
      <w:r w:rsidRPr="009C5019">
        <w:rPr>
          <w:rFonts w:ascii="Times New Roman" w:hAnsi="Times New Roman"/>
          <w:sz w:val="22"/>
          <w:szCs w:val="22"/>
        </w:rPr>
        <w:t xml:space="preserve"> e </w:t>
      </w:r>
      <w:r>
        <w:rPr>
          <w:rFonts w:ascii="Times New Roman" w:hAnsi="Times New Roman"/>
          <w:sz w:val="22"/>
          <w:szCs w:val="22"/>
        </w:rPr>
        <w:t>05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C5019">
        <w:rPr>
          <w:rFonts w:ascii="Times New Roman" w:hAnsi="Times New Roman"/>
          <w:sz w:val="22"/>
          <w:szCs w:val="22"/>
        </w:rPr>
        <w:t>) ausências dos Conselheiros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Roberta Krahe Edelweiss, Roberto Luiz Decó</w:t>
      </w:r>
      <w:r>
        <w:rPr>
          <w:rFonts w:ascii="Times New Roman" w:hAnsi="Times New Roman"/>
          <w:sz w:val="22"/>
          <w:szCs w:val="22"/>
        </w:rPr>
        <w:t>,</w:t>
      </w:r>
      <w:r w:rsidRPr="009C5019">
        <w:rPr>
          <w:rFonts w:ascii="Times New Roman" w:hAnsi="Times New Roman"/>
          <w:sz w:val="22"/>
          <w:szCs w:val="22"/>
        </w:rPr>
        <w:t xml:space="preserve"> Maurício Zuchetti e Rodrigo Rintzel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Porto Alegre – RS, </w:t>
      </w:r>
      <w:r w:rsidR="00EF22D9">
        <w:rPr>
          <w:rFonts w:ascii="Times New Roman" w:hAnsi="Times New Roman"/>
          <w:sz w:val="22"/>
          <w:szCs w:val="22"/>
        </w:rPr>
        <w:t>27</w:t>
      </w:r>
      <w:r w:rsidR="00CE543B" w:rsidRPr="009F1D59">
        <w:rPr>
          <w:rFonts w:ascii="Times New Roman" w:hAnsi="Times New Roman"/>
          <w:sz w:val="22"/>
          <w:szCs w:val="22"/>
        </w:rPr>
        <w:t xml:space="preserve"> </w:t>
      </w:r>
      <w:r w:rsidRPr="009F1D59">
        <w:rPr>
          <w:rFonts w:ascii="Times New Roman" w:hAnsi="Times New Roman"/>
          <w:sz w:val="22"/>
          <w:szCs w:val="22"/>
        </w:rPr>
        <w:t xml:space="preserve">de </w:t>
      </w:r>
      <w:r w:rsidR="00EF22D9">
        <w:rPr>
          <w:rFonts w:ascii="Times New Roman" w:hAnsi="Times New Roman"/>
          <w:sz w:val="22"/>
          <w:szCs w:val="22"/>
        </w:rPr>
        <w:t xml:space="preserve">setembro </w:t>
      </w:r>
      <w:r w:rsidRPr="009F1D59">
        <w:rPr>
          <w:rFonts w:ascii="Times New Roman" w:hAnsi="Times New Roman"/>
          <w:sz w:val="22"/>
          <w:szCs w:val="22"/>
        </w:rPr>
        <w:t>de 201</w:t>
      </w:r>
      <w:r w:rsidR="00E03E7F" w:rsidRPr="009F1D59">
        <w:rPr>
          <w:rFonts w:ascii="Times New Roman" w:hAnsi="Times New Roman"/>
          <w:sz w:val="22"/>
          <w:szCs w:val="22"/>
        </w:rPr>
        <w:t>9</w:t>
      </w:r>
      <w:r w:rsidRPr="009F1D59">
        <w:rPr>
          <w:rFonts w:ascii="Times New Roman" w:hAnsi="Times New Roman"/>
          <w:sz w:val="22"/>
          <w:szCs w:val="22"/>
        </w:rPr>
        <w:t>.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FB4FB0" w:rsidRPr="009F1D59" w:rsidRDefault="00FB4FB0" w:rsidP="00483A8E">
      <w:pPr>
        <w:pStyle w:val="PargrafodaLista"/>
        <w:ind w:left="0" w:right="133"/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483A8E" w:rsidRPr="009F1D59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C566DE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C566DE">
        <w:rPr>
          <w:rFonts w:ascii="Times New Roman" w:hAnsi="Times New Roman"/>
          <w:bCs/>
          <w:sz w:val="22"/>
          <w:szCs w:val="22"/>
        </w:rPr>
        <w:t>TIAGO HOLZMANN DA SILVA</w:t>
      </w:r>
    </w:p>
    <w:p w:rsidR="00483A8E" w:rsidRPr="009F1D59" w:rsidRDefault="003335CD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9F1D59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F22D9" w:rsidRDefault="00EF22D9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EF22D9" w:rsidRDefault="00EF22D9" w:rsidP="00CE543B">
      <w:p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</w:r>
    </w:p>
    <w:p w:rsidR="00CE543B" w:rsidRPr="00FB6C18" w:rsidRDefault="00C566D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t>101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106E05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F22D9" w:rsidRPr="00770D01" w:rsidRDefault="00EF22D9" w:rsidP="00EF22D9">
            <w:pPr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22D9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770D0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770D0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0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F22D9" w:rsidRPr="00770D01" w:rsidRDefault="00EF22D9" w:rsidP="00EF22D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60"/>
        <w:gridCol w:w="4678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566DE">
              <w:rPr>
                <w:rFonts w:ascii="Times New Roman" w:hAnsi="Times New Roman"/>
                <w:b/>
                <w:sz w:val="20"/>
                <w:szCs w:val="22"/>
              </w:rPr>
              <w:t>Ordinária nº 101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566DE" w:rsidRPr="00034170" w:rsidRDefault="00CE543B" w:rsidP="00C566D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566DE">
              <w:rPr>
                <w:rFonts w:ascii="Times New Roman" w:hAnsi="Times New Roman"/>
                <w:sz w:val="20"/>
                <w:szCs w:val="22"/>
              </w:rPr>
              <w:t>27/09/2019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FB226B"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F66C26">
              <w:rPr>
                <w:rFonts w:ascii="Times New Roman" w:hAnsi="Times New Roman"/>
                <w:sz w:val="20"/>
                <w:szCs w:val="22"/>
              </w:rPr>
              <w:t>1087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 xml:space="preserve">Homologa </w:t>
            </w:r>
            <w:r w:rsidR="00F66C26" w:rsidRPr="00F66C26">
              <w:rPr>
                <w:rFonts w:ascii="Times New Roman" w:hAnsi="Times New Roman"/>
                <w:sz w:val="20"/>
                <w:szCs w:val="22"/>
              </w:rPr>
              <w:t>análise técnica quanto as atribuições dos técnicos industriais de nível médio com habilitação em edificações no que se refere ao serviço de regularização de obra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106E0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votação: Sim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106E05">
              <w:rPr>
                <w:rFonts w:ascii="Times New Roman" w:hAnsi="Times New Roman"/>
                <w:sz w:val="20"/>
                <w:szCs w:val="22"/>
              </w:rPr>
              <w:t>13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EF22D9" w:rsidRPr="00EF22D9">
              <w:rPr>
                <w:rFonts w:ascii="Times New Roman" w:hAnsi="Times New Roman"/>
                <w:sz w:val="20"/>
                <w:szCs w:val="22"/>
              </w:rPr>
              <w:t>05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EF22D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 w:rsidRPr="00EF22D9">
              <w:rPr>
                <w:rFonts w:ascii="Times New Roman" w:hAnsi="Times New Roman"/>
                <w:sz w:val="20"/>
                <w:szCs w:val="22"/>
              </w:rPr>
              <w:t>18</w:t>
            </w:r>
            <w:r w:rsidRPr="00EF22D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EE2306">
      <w:pPr>
        <w:spacing w:after="200" w:line="276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D213CD" w:rsidRPr="00FB6C18" w:rsidSect="00C56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230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23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5205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06E05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31E75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335CD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85A57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16D37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2306"/>
    <w:rsid w:val="00EE6DD1"/>
    <w:rsid w:val="00EF22D9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1245"/>
    <w:rsid w:val="00F62212"/>
    <w:rsid w:val="00F62BC8"/>
    <w:rsid w:val="00F64BDA"/>
    <w:rsid w:val="00F664C2"/>
    <w:rsid w:val="00F66C26"/>
    <w:rsid w:val="00F66D4D"/>
    <w:rsid w:val="00F73BFC"/>
    <w:rsid w:val="00F77BFC"/>
    <w:rsid w:val="00F81B82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4F1A-142E-41EA-BE2F-F337C830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2019-10-28T13:43:00Z</cp:lastPrinted>
  <dcterms:created xsi:type="dcterms:W3CDTF">2019-09-26T20:55:00Z</dcterms:created>
  <dcterms:modified xsi:type="dcterms:W3CDTF">2019-10-28T13:44:00Z</dcterms:modified>
</cp:coreProperties>
</file>