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770D01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FD4628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4628" w:rsidRPr="00770D01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3F26B5" w:rsidP="00347CF4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347CF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Ensino e Formação</w:t>
            </w:r>
            <w:bookmarkStart w:id="0" w:name="_GoBack"/>
            <w:bookmarkEnd w:id="0"/>
            <w:r w:rsidR="008035DE"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  <w:r w:rsidR="00FD4628"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770D01" w:rsidTr="00770D01">
        <w:trPr>
          <w:cantSplit/>
          <w:trHeight w:val="396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D05554" w:rsidP="004B7BE6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Homologa</w:t>
            </w:r>
            <w:r w:rsidR="007D5FD8" w:rsidRPr="00770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7BE6" w:rsidRPr="004B7BE6">
              <w:rPr>
                <w:rFonts w:ascii="Times New Roman" w:hAnsi="Times New Roman"/>
                <w:sz w:val="22"/>
                <w:szCs w:val="22"/>
              </w:rPr>
              <w:t>entendimento apresentado pela CEF-CAU/RS, acerca das matérias de paisagismo lecionadas em cursos de pós-graduação em Design de Interiores</w:t>
            </w:r>
            <w:r w:rsidR="004B7BE6">
              <w:rPr>
                <w:rFonts w:ascii="Times New Roman" w:hAnsi="Times New Roman"/>
                <w:sz w:val="22"/>
                <w:szCs w:val="22"/>
              </w:rPr>
              <w:t xml:space="preserve"> e solicita providências junto ao CAU/BR.</w:t>
            </w:r>
          </w:p>
        </w:tc>
      </w:tr>
    </w:tbl>
    <w:p w:rsidR="00124A49" w:rsidRPr="00770D01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770D0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770D01">
        <w:rPr>
          <w:rFonts w:ascii="Times New Roman" w:hAnsi="Times New Roman"/>
          <w:sz w:val="22"/>
          <w:szCs w:val="22"/>
          <w:lang w:eastAsia="pt-BR"/>
        </w:rPr>
        <w:t>/RS</w:t>
      </w:r>
      <w:r w:rsidRPr="00770D0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957A6B">
        <w:rPr>
          <w:rFonts w:ascii="Times New Roman" w:hAnsi="Times New Roman"/>
          <w:sz w:val="22"/>
          <w:szCs w:val="22"/>
          <w:lang w:eastAsia="pt-BR"/>
        </w:rPr>
        <w:t>1082</w:t>
      </w:r>
      <w:r w:rsidRPr="00770D0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770D01">
        <w:rPr>
          <w:rFonts w:ascii="Times New Roman" w:hAnsi="Times New Roman"/>
          <w:sz w:val="22"/>
          <w:szCs w:val="22"/>
          <w:lang w:eastAsia="pt-BR"/>
        </w:rPr>
        <w:t>201</w:t>
      </w:r>
      <w:r w:rsidR="004A6546" w:rsidRPr="00770D01">
        <w:rPr>
          <w:rFonts w:ascii="Times New Roman" w:hAnsi="Times New Roman"/>
          <w:sz w:val="22"/>
          <w:szCs w:val="22"/>
          <w:lang w:eastAsia="pt-BR"/>
        </w:rPr>
        <w:t>9</w:t>
      </w:r>
    </w:p>
    <w:p w:rsidR="00780069" w:rsidRPr="00770D01" w:rsidRDefault="0078006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770D01" w:rsidRDefault="004B7BE6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 w:rsidRPr="00770D01">
        <w:rPr>
          <w:rFonts w:ascii="Times New Roman" w:hAnsi="Times New Roman"/>
          <w:sz w:val="22"/>
          <w:szCs w:val="22"/>
        </w:rPr>
        <w:t xml:space="preserve">Homologa </w:t>
      </w:r>
      <w:r w:rsidRPr="004B7BE6">
        <w:rPr>
          <w:rFonts w:ascii="Times New Roman" w:hAnsi="Times New Roman"/>
          <w:sz w:val="22"/>
          <w:szCs w:val="22"/>
        </w:rPr>
        <w:t>entendimento apresentado pela CEF-CAU/RS, acerca das matérias de paisagismo lecionadas em cursos de pós-graduação em Design de Interiores</w:t>
      </w:r>
      <w:r>
        <w:rPr>
          <w:rFonts w:ascii="Times New Roman" w:hAnsi="Times New Roman"/>
          <w:sz w:val="22"/>
          <w:szCs w:val="22"/>
        </w:rPr>
        <w:t xml:space="preserve"> e solicita providências junto ao CAU/BR</w:t>
      </w:r>
      <w:r w:rsidR="00D05554" w:rsidRPr="00770D01">
        <w:rPr>
          <w:rFonts w:ascii="Times New Roman" w:hAnsi="Times New Roman"/>
          <w:sz w:val="22"/>
          <w:szCs w:val="22"/>
        </w:rPr>
        <w:t>.</w:t>
      </w:r>
    </w:p>
    <w:p w:rsidR="00124A49" w:rsidRPr="00770D01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57A6B" w:rsidRPr="00EC5EA1" w:rsidRDefault="00957A6B" w:rsidP="00957A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Considerando o disposto no art. 2º, da Lei nº 12.378/2010, o qual determina as atividades e as atribuições do arquiteto e urbanista, bem como os campos de atuação a que estas se aplicam: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 xml:space="preserve">“Art. 2º As atividades de que trata este artigo aplicam-se aos seguintes campos </w:t>
      </w:r>
      <w:proofErr w:type="gramStart"/>
      <w:r w:rsidRPr="00EC5EA1">
        <w:rPr>
          <w:rFonts w:ascii="Times New Roman" w:hAnsi="Times New Roman"/>
          <w:i/>
          <w:sz w:val="22"/>
          <w:szCs w:val="22"/>
        </w:rPr>
        <w:t>de</w:t>
      </w:r>
      <w:proofErr w:type="gramEnd"/>
      <w:r w:rsidRPr="00EC5EA1">
        <w:rPr>
          <w:rFonts w:ascii="Times New Roman" w:hAnsi="Times New Roman"/>
          <w:i/>
          <w:sz w:val="22"/>
          <w:szCs w:val="22"/>
        </w:rPr>
        <w:t xml:space="preserve"> atuação no setor: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(...)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III - da Arquitetura Paisagística, concepção e execução de projetos para espaços externos, livres e abertos, privados ou públicos, como parques e praças, considerados isoladamente ou em sistemas, dentro de várias escalas, inclusive a territorial;”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</w:p>
    <w:p w:rsidR="00957A6B" w:rsidRPr="00EC5EA1" w:rsidRDefault="00957A6B" w:rsidP="00957A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Considerando o disposto no art. 3º, da Resolução CAU/BR nº 21/2012, o qual dispõe que, para fins de Registro de Responsabilidade Técnica (RRT), definido em Resolução própria do CAU/BR, as atribuições profissionais dos arquitetos e urbanistas serão representadas no Sistema de Informação e Comunicação do Conselho de Arquitetura e Urbanismo (SICCAU) através das seguintes atividades:</w:t>
      </w:r>
    </w:p>
    <w:p w:rsidR="00957A6B" w:rsidRPr="00EC5EA1" w:rsidRDefault="00957A6B" w:rsidP="00957A6B">
      <w:pPr>
        <w:pStyle w:val="PargrafodaLista"/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“1. PROJETO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 ARQUITETURA PAISAGÍSTICA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1.6.1. Levantamento paisagístico;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1.6.2. Prospecção e inventário;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1.6.3. Projeto de arquitetura paisagística;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1.6.4. Projeto de recuperação paisagística;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1.6.5. Plano de manejo e conservação paisagística;</w:t>
      </w:r>
    </w:p>
    <w:p w:rsidR="00957A6B" w:rsidRPr="00EC5EA1" w:rsidRDefault="00957A6B" w:rsidP="00957A6B">
      <w:pPr>
        <w:pStyle w:val="PargrafodaLista"/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</w:p>
    <w:p w:rsidR="00957A6B" w:rsidRPr="00EC5EA1" w:rsidRDefault="00957A6B" w:rsidP="00957A6B">
      <w:pPr>
        <w:pStyle w:val="PargrafodaLista"/>
        <w:numPr>
          <w:ilvl w:val="0"/>
          <w:numId w:val="21"/>
        </w:numPr>
        <w:tabs>
          <w:tab w:val="left" w:pos="1418"/>
        </w:tabs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EXECUÇÃO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 ARQUITETURA PAISAGÍSTICA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2.6.1. Execução de obra de arquitetura paisagística;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2.6.2. Execução de recuperação paisagística;</w:t>
      </w:r>
    </w:p>
    <w:p w:rsidR="00957A6B" w:rsidRPr="00EC5EA1" w:rsidRDefault="00957A6B" w:rsidP="00957A6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2.6.3. Implementação de plano de manejo e conservação;”</w:t>
      </w:r>
    </w:p>
    <w:p w:rsidR="00957A6B" w:rsidRPr="00EC5EA1" w:rsidRDefault="00957A6B" w:rsidP="00957A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57A6B" w:rsidRPr="00EC5EA1" w:rsidRDefault="00957A6B" w:rsidP="00957A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Considerando que a Resolução CNE/CES nº 002/2010, a qual “</w:t>
      </w:r>
      <w:r w:rsidRPr="00EC5EA1">
        <w:rPr>
          <w:rFonts w:ascii="Times New Roman" w:hAnsi="Times New Roman"/>
          <w:i/>
          <w:sz w:val="22"/>
          <w:szCs w:val="22"/>
        </w:rPr>
        <w:t>institui as Diretrizes Curriculares Nacionais do curso de graduação em Arquitetura e Urbanismo, alterando dispositivos da Resolução CNE/CES nº 6/2006</w:t>
      </w:r>
      <w:r w:rsidRPr="00EC5EA1">
        <w:rPr>
          <w:rFonts w:ascii="Times New Roman" w:hAnsi="Times New Roman"/>
          <w:sz w:val="22"/>
          <w:szCs w:val="22"/>
        </w:rPr>
        <w:t>”, determina que o Paisagismo deve constar na proposta pedagógica dos cursos de Arquitetura e Urbanismo, dentro do Núcleo de Conhecimentos Profissionais, e deve fazer parte do perfil e das habilidades do egresso;</w:t>
      </w:r>
    </w:p>
    <w:p w:rsidR="00957A6B" w:rsidRPr="00EC5EA1" w:rsidRDefault="00957A6B" w:rsidP="00957A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57A6B" w:rsidRDefault="00957A6B" w:rsidP="00957A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Considerando a Deliberação nº 152/2017 – CEF/CAU-BR, </w:t>
      </w:r>
      <w:r>
        <w:rPr>
          <w:rFonts w:ascii="Times New Roman" w:hAnsi="Times New Roman"/>
          <w:sz w:val="22"/>
          <w:szCs w:val="22"/>
        </w:rPr>
        <w:t xml:space="preserve">que </w:t>
      </w:r>
      <w:r w:rsidRPr="00EC5EA1">
        <w:rPr>
          <w:rFonts w:ascii="Times New Roman" w:hAnsi="Times New Roman"/>
          <w:sz w:val="22"/>
          <w:szCs w:val="22"/>
        </w:rPr>
        <w:t>trata das propostas do CAU/BR acerca do Projeto de L</w:t>
      </w:r>
      <w:r>
        <w:rPr>
          <w:rFonts w:ascii="Times New Roman" w:hAnsi="Times New Roman"/>
          <w:sz w:val="22"/>
          <w:szCs w:val="22"/>
        </w:rPr>
        <w:t xml:space="preserve">ei nº 2043/2011; </w:t>
      </w:r>
    </w:p>
    <w:p w:rsidR="00957A6B" w:rsidRPr="00EC5EA1" w:rsidRDefault="00957A6B" w:rsidP="00957A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Deliberação nº 030/2019 – CEF-CAU/RS, que apresenta </w:t>
      </w:r>
      <w:r w:rsidRPr="00EC5EA1">
        <w:rPr>
          <w:rFonts w:ascii="Times New Roman" w:hAnsi="Times New Roman"/>
          <w:sz w:val="22"/>
          <w:szCs w:val="22"/>
        </w:rPr>
        <w:t>entendimento da CEF-CAU/RS no que tange às matérias de paisagismo lecionadas em cursos de pós-graduação em Design de Interiores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70D01" w:rsidRDefault="00770D01" w:rsidP="00957A6B">
      <w:pPr>
        <w:jc w:val="both"/>
        <w:rPr>
          <w:rFonts w:ascii="Times New Roman" w:hAnsi="Times New Roman"/>
          <w:b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lastRenderedPageBreak/>
        <w:tab/>
      </w:r>
      <w:r w:rsidRPr="006B0ED5">
        <w:rPr>
          <w:rFonts w:ascii="Times New Roman" w:hAnsi="Times New Roman"/>
          <w:b/>
          <w:sz w:val="22"/>
          <w:szCs w:val="22"/>
        </w:rPr>
        <w:t>DELIBEROU</w:t>
      </w:r>
      <w:r>
        <w:rPr>
          <w:rFonts w:ascii="Times New Roman" w:hAnsi="Times New Roman"/>
          <w:b/>
          <w:sz w:val="22"/>
          <w:szCs w:val="22"/>
        </w:rPr>
        <w:t xml:space="preserve"> por</w:t>
      </w:r>
      <w:r w:rsidRPr="006B0ED5">
        <w:rPr>
          <w:rFonts w:ascii="Times New Roman" w:hAnsi="Times New Roman"/>
          <w:b/>
          <w:sz w:val="22"/>
          <w:szCs w:val="22"/>
        </w:rPr>
        <w:t>:</w:t>
      </w:r>
    </w:p>
    <w:p w:rsidR="00770D01" w:rsidRPr="006B0ED5" w:rsidRDefault="00770D01" w:rsidP="00770D0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57A6B" w:rsidRDefault="00957A6B" w:rsidP="00957A6B">
      <w:pPr>
        <w:pStyle w:val="PargrafodaLista"/>
        <w:numPr>
          <w:ilvl w:val="0"/>
          <w:numId w:val="17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Homologar o entendimento apresentado pela CEF-CAU/RS, </w:t>
      </w:r>
      <w:r w:rsidRPr="00957A6B">
        <w:rPr>
          <w:rFonts w:ascii="Times New Roman" w:hAnsi="Times New Roman"/>
          <w:sz w:val="22"/>
          <w:szCs w:val="22"/>
        </w:rPr>
        <w:t>acerca das matérias de paisagismo lecionadas em cursos de pós-graduação em Design de Interiores</w:t>
      </w:r>
      <w:r>
        <w:rPr>
          <w:rFonts w:ascii="Times New Roman" w:hAnsi="Times New Roman"/>
          <w:sz w:val="22"/>
          <w:szCs w:val="22"/>
        </w:rPr>
        <w:t>, conforme Anexo desta deliberação;</w:t>
      </w:r>
    </w:p>
    <w:p w:rsidR="00770D01" w:rsidRDefault="00957A6B" w:rsidP="00957A6B">
      <w:pPr>
        <w:pStyle w:val="PargrafodaLista"/>
        <w:numPr>
          <w:ilvl w:val="0"/>
          <w:numId w:val="17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Encaminhar solicitação à CEF-CAU/BR, para que </w:t>
      </w:r>
      <w:r w:rsidRPr="00957A6B">
        <w:rPr>
          <w:rFonts w:ascii="Times New Roman" w:hAnsi="Times New Roman"/>
          <w:sz w:val="22"/>
          <w:szCs w:val="22"/>
        </w:rPr>
        <w:t>sejam tomadas as medidas convenientes junto às instâncias regulamentárias do ensino do Design de Interiores</w:t>
      </w:r>
      <w:r w:rsidR="004B7BE6">
        <w:rPr>
          <w:rFonts w:ascii="Times New Roman" w:hAnsi="Times New Roman"/>
          <w:sz w:val="22"/>
          <w:szCs w:val="22"/>
        </w:rPr>
        <w:t>;</w:t>
      </w:r>
    </w:p>
    <w:p w:rsidR="004B7BE6" w:rsidRPr="00BF2CDD" w:rsidRDefault="004B7BE6" w:rsidP="00957A6B">
      <w:pPr>
        <w:pStyle w:val="PargrafodaLista"/>
        <w:numPr>
          <w:ilvl w:val="0"/>
          <w:numId w:val="17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Solicitar posicionamento do CAU/BR quanto as providências, </w:t>
      </w:r>
      <w:r w:rsidRPr="00EC5EA1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orventura,</w:t>
      </w:r>
      <w:r w:rsidRPr="00EC5EA1">
        <w:rPr>
          <w:rFonts w:ascii="Times New Roman" w:hAnsi="Times New Roman"/>
          <w:sz w:val="22"/>
          <w:szCs w:val="22"/>
        </w:rPr>
        <w:t xml:space="preserve"> adotadas.</w:t>
      </w:r>
    </w:p>
    <w:p w:rsidR="007D5FD8" w:rsidRPr="00770D01" w:rsidRDefault="007D5FD8" w:rsidP="007D5FD8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70D01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D5FD8" w:rsidRPr="00770D01" w:rsidRDefault="007D5FD8" w:rsidP="007D5FD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770D01" w:rsidRDefault="00770D01" w:rsidP="00770D01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</w:t>
      </w:r>
      <w:r>
        <w:rPr>
          <w:rFonts w:ascii="Times New Roman" w:hAnsi="Times New Roman"/>
          <w:sz w:val="22"/>
          <w:szCs w:val="22"/>
        </w:rPr>
        <w:t xml:space="preserve">Manoel Joaquim Tostes,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 xml:space="preserve">ulo Fernando do Amaral Fontana, </w:t>
      </w:r>
      <w:r w:rsidRPr="009C5019">
        <w:rPr>
          <w:rFonts w:ascii="Times New Roman" w:hAnsi="Times New Roman"/>
          <w:sz w:val="22"/>
          <w:szCs w:val="22"/>
        </w:rPr>
        <w:t>Emilio Merino Dominguez</w:t>
      </w:r>
      <w:proofErr w:type="gramStart"/>
      <w:r w:rsidRPr="009C5019">
        <w:rPr>
          <w:rFonts w:ascii="Times New Roman" w:hAnsi="Times New Roman"/>
          <w:sz w:val="22"/>
          <w:szCs w:val="22"/>
        </w:rPr>
        <w:t>, ,</w:t>
      </w:r>
      <w:proofErr w:type="gramEnd"/>
      <w:r w:rsidRPr="009C5019">
        <w:rPr>
          <w:rFonts w:ascii="Times New Roman" w:hAnsi="Times New Roman"/>
          <w:sz w:val="22"/>
          <w:szCs w:val="22"/>
        </w:rPr>
        <w:t xml:space="preserve">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770D01" w:rsidRPr="006B0ED5" w:rsidRDefault="00770D01" w:rsidP="00770D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0D01" w:rsidRDefault="00770D01" w:rsidP="00770D01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70D01" w:rsidRPr="006B0ED5" w:rsidRDefault="00770D01" w:rsidP="00770D01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</w:rPr>
        <w:t>Porto Alegre – RS, 27 de setembro de 2019.</w:t>
      </w: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4A3485" w:rsidRPr="00770D01" w:rsidRDefault="004A3485">
      <w:pPr>
        <w:spacing w:after="200" w:line="276" w:lineRule="auto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770D01">
        <w:rPr>
          <w:rStyle w:val="nfase"/>
          <w:rFonts w:ascii="Times New Roman" w:hAnsi="Times New Roman"/>
          <w:i w:val="0"/>
          <w:iCs w:val="0"/>
          <w:sz w:val="22"/>
          <w:szCs w:val="22"/>
        </w:rPr>
        <w:br w:type="page"/>
      </w:r>
    </w:p>
    <w:p w:rsidR="00A75865" w:rsidRPr="00770D01" w:rsidRDefault="00A75865" w:rsidP="007D5FD8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770D01" w:rsidRPr="00770D01" w:rsidRDefault="00770D01" w:rsidP="00770D01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770D01">
        <w:rPr>
          <w:rFonts w:ascii="Times New Roman" w:hAnsi="Times New Roman"/>
          <w:b/>
          <w:bCs/>
          <w:sz w:val="22"/>
          <w:szCs w:val="22"/>
          <w:lang w:eastAsia="pt-BR"/>
        </w:rPr>
        <w:t>101ª REUNIÃO PLENÁRIA ORDINÁRIA DO CAU/RS</w:t>
      </w:r>
    </w:p>
    <w:p w:rsidR="00770D01" w:rsidRPr="00770D01" w:rsidRDefault="00770D01" w:rsidP="00770D01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770D0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70D01" w:rsidRPr="002231F3" w:rsidRDefault="00770D01" w:rsidP="00770D01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70D01" w:rsidRPr="002231F3" w:rsidTr="00FF068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Votação</w:t>
            </w:r>
          </w:p>
        </w:tc>
      </w:tr>
      <w:tr w:rsidR="00770D01" w:rsidRPr="002231F3" w:rsidTr="00FF068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Ausência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770D0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770D0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F0C15" w:rsidRPr="00770D01" w:rsidRDefault="008F0C15" w:rsidP="008F0C1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770D01">
              <w:rPr>
                <w:rFonts w:ascii="Times New Roman" w:hAnsi="Times New Roman"/>
                <w:b/>
                <w:sz w:val="20"/>
                <w:szCs w:val="20"/>
              </w:rPr>
              <w:t>eunião Plenária Ordinária nº 101</w:t>
            </w:r>
          </w:p>
        </w:tc>
      </w:tr>
      <w:tr w:rsidR="00520922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20922" w:rsidRPr="007406EA" w:rsidRDefault="00520922" w:rsidP="0052092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27/09/2019</w:t>
            </w:r>
          </w:p>
          <w:p w:rsidR="00520922" w:rsidRPr="007406EA" w:rsidRDefault="00520922" w:rsidP="0052092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  <w:r w:rsidR="004B7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4B7BE6" w:rsidRPr="00770D01">
              <w:rPr>
                <w:rFonts w:ascii="Times New Roman" w:hAnsi="Times New Roman"/>
                <w:sz w:val="22"/>
                <w:szCs w:val="22"/>
              </w:rPr>
              <w:t xml:space="preserve">Homologa </w:t>
            </w:r>
            <w:r w:rsidR="004B7BE6" w:rsidRPr="004B7BE6">
              <w:rPr>
                <w:rFonts w:ascii="Times New Roman" w:hAnsi="Times New Roman"/>
                <w:sz w:val="22"/>
                <w:szCs w:val="22"/>
              </w:rPr>
              <w:t>entendimento apresentado pela CEF-CAU/RS, acerca das matérias de paisagismo lecionadas em cursos de pós-graduação em Design de Interiores</w:t>
            </w:r>
            <w:r w:rsidR="004B7BE6">
              <w:rPr>
                <w:rFonts w:ascii="Times New Roman" w:hAnsi="Times New Roman"/>
                <w:sz w:val="22"/>
                <w:szCs w:val="22"/>
              </w:rPr>
              <w:t xml:space="preserve"> e solicita providências junto ao CAU/BR</w:t>
            </w:r>
            <w:r w:rsidRPr="007406EA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520922" w:rsidRPr="007406EA" w:rsidRDefault="00520922" w:rsidP="0052092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0922" w:rsidRPr="00770D01" w:rsidTr="007F4C1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520922" w:rsidRPr="007406EA" w:rsidRDefault="00520922" w:rsidP="0052092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(13)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(00)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(00)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(05)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770D0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8F0C15" w:rsidRPr="00770D01" w:rsidTr="007F4C1D">
        <w:trPr>
          <w:trHeight w:val="257"/>
        </w:trPr>
        <w:tc>
          <w:tcPr>
            <w:tcW w:w="4530" w:type="dxa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770D0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8F0C15" w:rsidRPr="00770D01" w:rsidRDefault="008F0C15" w:rsidP="007F4C1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770D0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037508" w:rsidRPr="00770D01" w:rsidRDefault="00037508" w:rsidP="008F0C1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D213CD" w:rsidRPr="00770D01" w:rsidRDefault="00D213CD" w:rsidP="00037508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770D01" w:rsidSect="00957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21" w:rsidRDefault="00292C21" w:rsidP="004C3048">
      <w:r>
        <w:separator/>
      </w:r>
    </w:p>
  </w:endnote>
  <w:endnote w:type="continuationSeparator" w:id="0">
    <w:p w:rsidR="00292C21" w:rsidRDefault="00292C2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5950FA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92C21" w:rsidRPr="005F2A2D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68903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7CF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38314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7CF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21" w:rsidRDefault="00292C21" w:rsidP="004C3048">
      <w:r>
        <w:separator/>
      </w:r>
    </w:p>
  </w:footnote>
  <w:footnote w:type="continuationSeparator" w:id="0">
    <w:p w:rsidR="00292C21" w:rsidRDefault="00292C2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-899251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Default="00292C2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-3810</wp:posOffset>
          </wp:positionH>
          <wp:positionV relativeFrom="paragraph">
            <wp:posOffset>-910409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4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23BDE"/>
    <w:multiLevelType w:val="multilevel"/>
    <w:tmpl w:val="E3BE7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7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86658"/>
    <w:multiLevelType w:val="multilevel"/>
    <w:tmpl w:val="229646AC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763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1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9"/>
  </w:num>
  <w:num w:numId="7">
    <w:abstractNumId w:val="15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3"/>
  </w:num>
  <w:num w:numId="13">
    <w:abstractNumId w:val="17"/>
  </w:num>
  <w:num w:numId="14">
    <w:abstractNumId w:val="14"/>
  </w:num>
  <w:num w:numId="15">
    <w:abstractNumId w:val="9"/>
  </w:num>
  <w:num w:numId="16">
    <w:abstractNumId w:val="4"/>
  </w:num>
  <w:num w:numId="17">
    <w:abstractNumId w:val="7"/>
  </w:num>
  <w:num w:numId="18">
    <w:abstractNumId w:val="13"/>
  </w:num>
  <w:num w:numId="19">
    <w:abstractNumId w:val="1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B098F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A0255"/>
    <w:rsid w:val="001B5148"/>
    <w:rsid w:val="001B5F62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5A83"/>
    <w:rsid w:val="00292C21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47CF4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D4CC1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485"/>
    <w:rsid w:val="004A3A07"/>
    <w:rsid w:val="004A6546"/>
    <w:rsid w:val="004B3023"/>
    <w:rsid w:val="004B4A03"/>
    <w:rsid w:val="004B5A5C"/>
    <w:rsid w:val="004B5DE8"/>
    <w:rsid w:val="004B7BE6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0922"/>
    <w:rsid w:val="00523F83"/>
    <w:rsid w:val="0053240A"/>
    <w:rsid w:val="005415CF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2BDB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52F27"/>
    <w:rsid w:val="00757BDA"/>
    <w:rsid w:val="0076286B"/>
    <w:rsid w:val="00770D01"/>
    <w:rsid w:val="00776B7B"/>
    <w:rsid w:val="00780069"/>
    <w:rsid w:val="00786A03"/>
    <w:rsid w:val="007B7B0D"/>
    <w:rsid w:val="007B7BB9"/>
    <w:rsid w:val="007C0FB9"/>
    <w:rsid w:val="007C50BE"/>
    <w:rsid w:val="007D1BCF"/>
    <w:rsid w:val="007D5FD8"/>
    <w:rsid w:val="008035DE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10C"/>
    <w:rsid w:val="00890C7F"/>
    <w:rsid w:val="00896878"/>
    <w:rsid w:val="008A6E88"/>
    <w:rsid w:val="008D4752"/>
    <w:rsid w:val="008E1728"/>
    <w:rsid w:val="008E54C5"/>
    <w:rsid w:val="008F0C15"/>
    <w:rsid w:val="008F159C"/>
    <w:rsid w:val="00901719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57A6B"/>
    <w:rsid w:val="009643CB"/>
    <w:rsid w:val="009662F4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75865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0EBD"/>
    <w:rsid w:val="00B63C2E"/>
    <w:rsid w:val="00B73A02"/>
    <w:rsid w:val="00B763CF"/>
    <w:rsid w:val="00B76549"/>
    <w:rsid w:val="00B81197"/>
    <w:rsid w:val="00B95956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94312"/>
    <w:rsid w:val="00CA1D82"/>
    <w:rsid w:val="00CA3EA6"/>
    <w:rsid w:val="00CB4643"/>
    <w:rsid w:val="00CC5EB2"/>
    <w:rsid w:val="00CD0E69"/>
    <w:rsid w:val="00CE4E08"/>
    <w:rsid w:val="00CF2F7D"/>
    <w:rsid w:val="00CF2FBA"/>
    <w:rsid w:val="00CF4F5A"/>
    <w:rsid w:val="00D05554"/>
    <w:rsid w:val="00D213CD"/>
    <w:rsid w:val="00D24E51"/>
    <w:rsid w:val="00D30558"/>
    <w:rsid w:val="00D32E81"/>
    <w:rsid w:val="00D33810"/>
    <w:rsid w:val="00D43467"/>
    <w:rsid w:val="00D56A62"/>
    <w:rsid w:val="00D579DD"/>
    <w:rsid w:val="00D62C61"/>
    <w:rsid w:val="00D646D8"/>
    <w:rsid w:val="00D67B4E"/>
    <w:rsid w:val="00D802D9"/>
    <w:rsid w:val="00D8349F"/>
    <w:rsid w:val="00D9535A"/>
    <w:rsid w:val="00DB0CAD"/>
    <w:rsid w:val="00DB17F5"/>
    <w:rsid w:val="00DB4045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0B88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1CE"/>
    <w:rsid w:val="00FD4628"/>
    <w:rsid w:val="00FE6CEA"/>
    <w:rsid w:val="00FE75C7"/>
    <w:rsid w:val="00FF1677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CC88-EC85-4AE0-A0A6-3A6E27C1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4</cp:revision>
  <cp:lastPrinted>2019-10-24T19:34:00Z</cp:lastPrinted>
  <dcterms:created xsi:type="dcterms:W3CDTF">2019-10-15T19:35:00Z</dcterms:created>
  <dcterms:modified xsi:type="dcterms:W3CDTF">2019-10-24T19:37:00Z</dcterms:modified>
</cp:coreProperties>
</file>