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C5036B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C5036B" w:rsidRDefault="00FD4628" w:rsidP="005E54BA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  <w:r w:rsidR="00F456DB" w:rsidRPr="00C5036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C5036B" w:rsidRDefault="00FD4628" w:rsidP="00037508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4628" w:rsidRPr="00C5036B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C5036B" w:rsidRDefault="00FD4628" w:rsidP="005E54BA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C5036B" w:rsidRDefault="003F26B5" w:rsidP="00C4098F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 w:rsidRPr="00C5036B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 xml:space="preserve">Comissão de </w:t>
            </w:r>
            <w:r w:rsidR="00C4098F" w:rsidRPr="00C5036B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>Exercício Profissional</w:t>
            </w:r>
            <w:r w:rsidR="008035DE" w:rsidRPr="00C5036B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 xml:space="preserve"> </w:t>
            </w:r>
            <w:r w:rsidR="00FD4628" w:rsidRPr="00C5036B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 xml:space="preserve">do CAU/RS </w:t>
            </w:r>
          </w:p>
        </w:tc>
      </w:tr>
      <w:tr w:rsidR="00FD4628" w:rsidRPr="00C5036B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C5036B" w:rsidRDefault="00FD4628" w:rsidP="005E54B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C5036B" w:rsidRDefault="00C4098F" w:rsidP="00C4098F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Homologa encaminhamento ao CAU/BR de solicitação de esclarecimentos quanto às atribuições privativas constantes na Resolução CAU/BR nº 51/2013;</w:t>
            </w:r>
          </w:p>
        </w:tc>
      </w:tr>
    </w:tbl>
    <w:p w:rsidR="00124A49" w:rsidRPr="00C5036B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C5036B">
        <w:rPr>
          <w:rFonts w:asciiTheme="minorHAnsi" w:hAnsiTheme="minorHAnsi" w:cstheme="minorHAnsi"/>
          <w:sz w:val="22"/>
          <w:szCs w:val="22"/>
          <w:lang w:eastAsia="pt-BR"/>
        </w:rPr>
        <w:t>DELIBERAÇÃO PLENÁRIA DPO</w:t>
      </w:r>
      <w:r w:rsidR="00E56097" w:rsidRPr="00C5036B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C5036B">
        <w:rPr>
          <w:rFonts w:asciiTheme="minorHAnsi" w:hAnsiTheme="minorHAnsi" w:cstheme="minorHAnsi"/>
          <w:sz w:val="22"/>
          <w:szCs w:val="22"/>
          <w:lang w:eastAsia="pt-BR"/>
        </w:rPr>
        <w:t xml:space="preserve"> Nº </w:t>
      </w:r>
      <w:r w:rsidR="003D4CC1" w:rsidRPr="00C5036B">
        <w:rPr>
          <w:rFonts w:asciiTheme="minorHAnsi" w:hAnsiTheme="minorHAnsi" w:cstheme="minorHAnsi"/>
          <w:sz w:val="22"/>
          <w:szCs w:val="22"/>
          <w:lang w:eastAsia="pt-BR"/>
        </w:rPr>
        <w:t>10</w:t>
      </w:r>
      <w:r w:rsidR="00C4098F" w:rsidRPr="00C5036B">
        <w:rPr>
          <w:rFonts w:asciiTheme="minorHAnsi" w:hAnsiTheme="minorHAnsi" w:cstheme="minorHAnsi"/>
          <w:sz w:val="22"/>
          <w:szCs w:val="22"/>
          <w:lang w:eastAsia="pt-BR"/>
        </w:rPr>
        <w:t>6</w:t>
      </w:r>
      <w:r w:rsidR="00E013C8">
        <w:rPr>
          <w:rFonts w:asciiTheme="minorHAnsi" w:hAnsiTheme="minorHAnsi" w:cstheme="minorHAnsi"/>
          <w:sz w:val="22"/>
          <w:szCs w:val="22"/>
          <w:lang w:eastAsia="pt-BR"/>
        </w:rPr>
        <w:t>8</w:t>
      </w:r>
      <w:bookmarkStart w:id="0" w:name="_GoBack"/>
      <w:bookmarkEnd w:id="0"/>
      <w:r w:rsidRPr="00C5036B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="00FD4628" w:rsidRPr="00C5036B">
        <w:rPr>
          <w:rFonts w:asciiTheme="minorHAnsi" w:hAnsiTheme="minorHAnsi" w:cstheme="minorHAnsi"/>
          <w:sz w:val="22"/>
          <w:szCs w:val="22"/>
          <w:lang w:eastAsia="pt-BR"/>
        </w:rPr>
        <w:t>201</w:t>
      </w:r>
      <w:r w:rsidR="004A6546" w:rsidRPr="00C5036B">
        <w:rPr>
          <w:rFonts w:asciiTheme="minorHAnsi" w:hAnsiTheme="minorHAnsi" w:cstheme="minorHAnsi"/>
          <w:sz w:val="22"/>
          <w:szCs w:val="22"/>
          <w:lang w:eastAsia="pt-BR"/>
        </w:rPr>
        <w:t>9</w:t>
      </w:r>
    </w:p>
    <w:p w:rsidR="00780069" w:rsidRPr="00C5036B" w:rsidRDefault="00780069" w:rsidP="00124A49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124A49" w:rsidRPr="00C5036B" w:rsidRDefault="00C4098F" w:rsidP="00124A49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Homologa encaminhamento ao CAU/BR de solicitação de esclarecimentos quanto às atribuições privativas constantes na Resolução CAU/BR nº 51/2013</w:t>
      </w:r>
      <w:r w:rsidR="00D05554" w:rsidRPr="00C5036B">
        <w:rPr>
          <w:rFonts w:asciiTheme="minorHAnsi" w:hAnsiTheme="minorHAnsi" w:cstheme="minorHAnsi"/>
          <w:sz w:val="22"/>
          <w:szCs w:val="22"/>
        </w:rPr>
        <w:t>.</w:t>
      </w:r>
    </w:p>
    <w:p w:rsidR="00124A49" w:rsidRPr="00C5036B" w:rsidRDefault="00124A49" w:rsidP="00124A49">
      <w:pPr>
        <w:ind w:firstLine="1701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24A49" w:rsidRPr="00C5036B" w:rsidRDefault="0050455C" w:rsidP="00752F27">
      <w:pPr>
        <w:jc w:val="both"/>
        <w:rPr>
          <w:rFonts w:asciiTheme="minorHAnsi" w:hAnsiTheme="minorHAnsi" w:cstheme="minorHAnsi"/>
          <w:sz w:val="22"/>
          <w:szCs w:val="22"/>
          <w:highlight w:val="yellow"/>
          <w:lang w:eastAsia="pt-BR"/>
        </w:rPr>
      </w:pPr>
      <w:r w:rsidRPr="00C5036B">
        <w:rPr>
          <w:rFonts w:asciiTheme="minorHAnsi" w:hAnsiTheme="minorHAnsi" w:cstheme="minorHAnsi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87510C" w:rsidRPr="00C5036B">
        <w:rPr>
          <w:rFonts w:asciiTheme="minorHAnsi" w:hAnsiTheme="minorHAnsi" w:cstheme="minorHAnsi"/>
          <w:sz w:val="22"/>
          <w:szCs w:val="22"/>
        </w:rPr>
        <w:t xml:space="preserve">19 </w:t>
      </w:r>
      <w:r w:rsidR="007D5FD8" w:rsidRPr="00C5036B">
        <w:rPr>
          <w:rFonts w:asciiTheme="minorHAnsi" w:hAnsiTheme="minorHAnsi" w:cstheme="minorHAnsi"/>
          <w:sz w:val="22"/>
          <w:szCs w:val="22"/>
        </w:rPr>
        <w:t>de ju</w:t>
      </w:r>
      <w:r w:rsidR="0087510C" w:rsidRPr="00C5036B">
        <w:rPr>
          <w:rFonts w:asciiTheme="minorHAnsi" w:hAnsiTheme="minorHAnsi" w:cstheme="minorHAnsi"/>
          <w:sz w:val="22"/>
          <w:szCs w:val="22"/>
        </w:rPr>
        <w:t>l</w:t>
      </w:r>
      <w:r w:rsidR="007D5FD8" w:rsidRPr="00C5036B">
        <w:rPr>
          <w:rFonts w:asciiTheme="minorHAnsi" w:hAnsiTheme="minorHAnsi" w:cstheme="minorHAnsi"/>
          <w:sz w:val="22"/>
          <w:szCs w:val="22"/>
        </w:rPr>
        <w:t xml:space="preserve">ho </w:t>
      </w:r>
      <w:r w:rsidRPr="00C5036B">
        <w:rPr>
          <w:rFonts w:asciiTheme="minorHAnsi" w:hAnsiTheme="minorHAnsi" w:cstheme="minorHAnsi"/>
          <w:sz w:val="22"/>
          <w:szCs w:val="22"/>
        </w:rPr>
        <w:t>de 201</w:t>
      </w:r>
      <w:r w:rsidR="007D5FD8" w:rsidRPr="00C5036B">
        <w:rPr>
          <w:rFonts w:asciiTheme="minorHAnsi" w:hAnsiTheme="minorHAnsi" w:cstheme="minorHAnsi"/>
          <w:sz w:val="22"/>
          <w:szCs w:val="22"/>
        </w:rPr>
        <w:t>9</w:t>
      </w:r>
      <w:r w:rsidRPr="00C5036B">
        <w:rPr>
          <w:rFonts w:asciiTheme="minorHAnsi" w:hAnsiTheme="minorHAnsi" w:cstheme="minorHAnsi"/>
          <w:sz w:val="22"/>
          <w:szCs w:val="22"/>
        </w:rPr>
        <w:t xml:space="preserve">, </w:t>
      </w:r>
      <w:r w:rsidRPr="00C5036B">
        <w:rPr>
          <w:rFonts w:asciiTheme="minorHAnsi" w:hAnsiTheme="minorHAnsi" w:cstheme="minorHAnsi"/>
          <w:sz w:val="22"/>
          <w:szCs w:val="22"/>
          <w:lang w:eastAsia="pt-BR"/>
        </w:rPr>
        <w:t>após análise do assunto em epígrafe, e</w:t>
      </w:r>
      <w:r w:rsidRPr="00C5036B">
        <w:rPr>
          <w:rFonts w:asciiTheme="minorHAnsi" w:hAnsiTheme="minorHAnsi" w:cstheme="minorHAnsi"/>
          <w:sz w:val="22"/>
          <w:szCs w:val="22"/>
        </w:rPr>
        <w:t>;</w:t>
      </w:r>
    </w:p>
    <w:p w:rsidR="00110CCE" w:rsidRPr="00C5036B" w:rsidRDefault="00110CCE" w:rsidP="00752F2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4098F" w:rsidRPr="00C5036B" w:rsidRDefault="00C4098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Considerando que o art. 5º, inciso XIII, da Constituição Federal, dispõe que “</w:t>
      </w:r>
      <w:r w:rsidRPr="00C5036B">
        <w:rPr>
          <w:rFonts w:asciiTheme="minorHAnsi" w:hAnsiTheme="minorHAnsi" w:cstheme="minorHAnsi"/>
          <w:i/>
          <w:sz w:val="22"/>
          <w:szCs w:val="22"/>
        </w:rPr>
        <w:t xml:space="preserve">é livre o exercício de qualquer trabalho, ofício ou profissão, atendidas as qualificações profissionais que a </w:t>
      </w:r>
      <w:r w:rsidRPr="00C5036B">
        <w:rPr>
          <w:rFonts w:asciiTheme="minorHAnsi" w:hAnsiTheme="minorHAnsi" w:cstheme="minorHAnsi"/>
          <w:i/>
          <w:sz w:val="22"/>
          <w:szCs w:val="22"/>
          <w:u w:val="single"/>
        </w:rPr>
        <w:t>lei estabelecer</w:t>
      </w:r>
      <w:r w:rsidRPr="00C5036B">
        <w:rPr>
          <w:rFonts w:asciiTheme="minorHAnsi" w:hAnsiTheme="minorHAnsi" w:cstheme="minorHAnsi"/>
          <w:sz w:val="22"/>
          <w:szCs w:val="22"/>
        </w:rPr>
        <w:t>”;</w:t>
      </w:r>
    </w:p>
    <w:p w:rsidR="00C4098F" w:rsidRPr="00C5036B" w:rsidRDefault="00C4098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4098F" w:rsidRPr="00C5036B" w:rsidRDefault="00C4098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Considerando que a Constituição Federal, em seu art. 6º, estabeleceu que “</w:t>
      </w:r>
      <w:r w:rsidRPr="00C5036B">
        <w:rPr>
          <w:rFonts w:asciiTheme="minorHAnsi" w:hAnsiTheme="minorHAnsi" w:cstheme="minorHAnsi"/>
          <w:i/>
          <w:sz w:val="22"/>
          <w:szCs w:val="22"/>
        </w:rPr>
        <w:t xml:space="preserve">são direitos sociais a educação, a saúde, a alimentação, </w:t>
      </w:r>
      <w:r w:rsidRPr="00C5036B">
        <w:rPr>
          <w:rFonts w:asciiTheme="minorHAnsi" w:hAnsiTheme="minorHAnsi" w:cstheme="minorHAnsi"/>
          <w:i/>
          <w:sz w:val="22"/>
          <w:szCs w:val="22"/>
          <w:u w:val="single"/>
        </w:rPr>
        <w:t>o trabalho</w:t>
      </w:r>
      <w:r w:rsidRPr="00C5036B">
        <w:rPr>
          <w:rFonts w:asciiTheme="minorHAnsi" w:hAnsiTheme="minorHAnsi" w:cstheme="minorHAnsi"/>
          <w:i/>
          <w:sz w:val="22"/>
          <w:szCs w:val="22"/>
        </w:rPr>
        <w:t>, a moradia, o transporte, o lazer, a segurança, a previdência social, a proteção à maternidade e à infância, a assistência aos desamparados, na forma desta Constituição</w:t>
      </w:r>
      <w:r w:rsidRPr="00C5036B">
        <w:rPr>
          <w:rFonts w:asciiTheme="minorHAnsi" w:hAnsiTheme="minorHAnsi" w:cstheme="minorHAnsi"/>
          <w:sz w:val="22"/>
          <w:szCs w:val="22"/>
        </w:rPr>
        <w:t>”;</w:t>
      </w:r>
    </w:p>
    <w:p w:rsidR="00C4098F" w:rsidRPr="00C5036B" w:rsidRDefault="00C4098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4098F" w:rsidRPr="00C5036B" w:rsidRDefault="00C4098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Considerando o disposto no art. 2º, da Lei nº 12.378/2010, o qual determina as atividades e as atribuições do arquiteto e urbanista, bem como os campos de atuação a que estas se aplicam;</w:t>
      </w:r>
    </w:p>
    <w:p w:rsidR="00C4098F" w:rsidRPr="00C5036B" w:rsidRDefault="00C4098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4098F" w:rsidRDefault="00C4098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Considerando que o art. 3º, da Lei nº 12.378/2010, estabelece que:</w:t>
      </w:r>
    </w:p>
    <w:p w:rsidR="009C75F1" w:rsidRPr="00C5036B" w:rsidRDefault="009C75F1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4098F" w:rsidRPr="00C5036B" w:rsidRDefault="00C4098F" w:rsidP="00C4098F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 xml:space="preserve">“Art. 3º </w:t>
      </w:r>
      <w:r w:rsidRPr="00C5036B">
        <w:rPr>
          <w:rFonts w:asciiTheme="minorHAnsi" w:hAnsiTheme="minorHAnsi" w:cstheme="minorHAnsi"/>
          <w:sz w:val="22"/>
          <w:szCs w:val="22"/>
          <w:u w:val="single"/>
        </w:rPr>
        <w:t>Os campos da atuação profissional para o exercício da arquitetura e urbanismo são definidos a partir das diretrizes curriculares nacionais</w:t>
      </w:r>
      <w:r w:rsidRPr="00C5036B">
        <w:rPr>
          <w:rFonts w:asciiTheme="minorHAnsi" w:hAnsiTheme="minorHAnsi" w:cstheme="minorHAnsi"/>
          <w:sz w:val="22"/>
          <w:szCs w:val="22"/>
        </w:rPr>
        <w:t xml:space="preserve"> que dispõem sobre a formação do profissional arquiteto e urbanista nas quais os núcleos de conhecimentos de fundamentação e de conhecimentos profissionais caracterizam a unidade de atuação profissional.</w:t>
      </w:r>
    </w:p>
    <w:p w:rsidR="00C4098F" w:rsidRPr="00C5036B" w:rsidRDefault="00C4098F" w:rsidP="00C4098F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  <w:u w:val="single"/>
        </w:rPr>
        <w:t>§ 1º O Conselho de Arquitetura e Urbanismo do Brasil - CAU/BR especificará, atentando para o disposto no caput, as áreas de atuação privativas dos arquitetos e urbanistas e as áreas de atuação compartilhadas com outras profissões regulamentadas</w:t>
      </w:r>
      <w:r w:rsidRPr="00C5036B">
        <w:rPr>
          <w:rFonts w:asciiTheme="minorHAnsi" w:hAnsiTheme="minorHAnsi" w:cstheme="minorHAnsi"/>
          <w:sz w:val="22"/>
          <w:szCs w:val="22"/>
        </w:rPr>
        <w:t>.</w:t>
      </w:r>
    </w:p>
    <w:p w:rsidR="00C4098F" w:rsidRPr="00C5036B" w:rsidRDefault="00C4098F" w:rsidP="00C4098F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§ 2º Serão consideradas privativas de profissional especializado as áreas de atuação nas quais a ausência de formação superior exponha o usuário do serviço a qualquer risco ou danos materiais à segurança, à saúde ou ao meio ambiente.</w:t>
      </w:r>
    </w:p>
    <w:p w:rsidR="00C4098F" w:rsidRPr="00C5036B" w:rsidRDefault="00C4098F" w:rsidP="00C4098F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§ 3º No exercício de atividades em áreas de atuação compartilhadas com outras áreas profissionais, o Conselho de Arquitetura e Urbanismo - CAU do Estado ou do Distrito Federal fiscalizará o exercício profissional da Arquitetura e Urbanismo.</w:t>
      </w:r>
    </w:p>
    <w:p w:rsidR="00C4098F" w:rsidRPr="00C5036B" w:rsidRDefault="00C4098F" w:rsidP="00C4098F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§ 4º Na hipótese de as normas do CAU/BR sobre o campo de atuação de arquitetos e urbanistas contradizerem normas de outro Conselho profissional, a controvérsia será resolvida por meio de resolução conjunta de ambos os conselhos.</w:t>
      </w:r>
    </w:p>
    <w:p w:rsidR="00C4098F" w:rsidRPr="00C5036B" w:rsidRDefault="00C4098F" w:rsidP="00C4098F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§ 5º Enquanto não editada a resolução conjunta de que trata o § 4º ou, em caso de impasse, até que seja resolvida a controvérsia, por arbitragem ou judicialmente, será aplicada a norma do Conselho que garanta ao profissional a maior margem de atuação.</w:t>
      </w:r>
    </w:p>
    <w:p w:rsidR="00C4098F" w:rsidRPr="00C5036B" w:rsidRDefault="00C4098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4098F" w:rsidRPr="00C5036B" w:rsidRDefault="00C4098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Considerando o disposto no art. 24, § 1º da Lei nº 12.378/2010, o qual estabelece que o Conselho de Arquitetura e Urbanismo (CAU) tem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C4098F" w:rsidRPr="00C5036B" w:rsidRDefault="00C4098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4098F" w:rsidRPr="00C5036B" w:rsidRDefault="00C4098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Considerando o disposto no art. 28, incisos I e II, da Lei nº 12.378/2010, que define como competência do CAU/BR as funções de “</w:t>
      </w:r>
      <w:r w:rsidRPr="00C5036B">
        <w:rPr>
          <w:rFonts w:asciiTheme="minorHAnsi" w:hAnsiTheme="minorHAnsi" w:cstheme="minorHAnsi"/>
          <w:i/>
          <w:sz w:val="22"/>
          <w:szCs w:val="22"/>
        </w:rPr>
        <w:t>zelar pela dignidade, independência, prerrogativas e valorização da arquitetura e do urbanismo</w:t>
      </w:r>
      <w:r w:rsidRPr="00C5036B">
        <w:rPr>
          <w:rFonts w:asciiTheme="minorHAnsi" w:hAnsiTheme="minorHAnsi" w:cstheme="minorHAnsi"/>
          <w:sz w:val="22"/>
          <w:szCs w:val="22"/>
        </w:rPr>
        <w:t>” e de “</w:t>
      </w:r>
      <w:r w:rsidRPr="00C5036B">
        <w:rPr>
          <w:rFonts w:asciiTheme="minorHAnsi" w:hAnsiTheme="minorHAnsi" w:cstheme="minorHAnsi"/>
          <w:i/>
          <w:sz w:val="22"/>
          <w:szCs w:val="22"/>
        </w:rPr>
        <w:t>editar, alterar o Regimento Geral, o Código de Ética, as Normas Eleitorais e os provimentos que julgar necessários</w:t>
      </w:r>
      <w:r w:rsidRPr="00C5036B">
        <w:rPr>
          <w:rFonts w:asciiTheme="minorHAnsi" w:hAnsiTheme="minorHAnsi" w:cstheme="minorHAnsi"/>
          <w:sz w:val="22"/>
          <w:szCs w:val="22"/>
        </w:rPr>
        <w:t>”;</w:t>
      </w:r>
    </w:p>
    <w:p w:rsidR="00C4098F" w:rsidRPr="00C5036B" w:rsidRDefault="00C4098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4098F" w:rsidRPr="00C5036B" w:rsidRDefault="00C4098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Considerando a Resolução CAU/BR nº 021/2012, a qual “</w:t>
      </w:r>
      <w:r w:rsidRPr="00C5036B">
        <w:rPr>
          <w:rFonts w:asciiTheme="minorHAnsi" w:hAnsiTheme="minorHAnsi" w:cstheme="minorHAnsi"/>
          <w:i/>
          <w:sz w:val="22"/>
          <w:szCs w:val="22"/>
        </w:rPr>
        <w:t>dispõe sobre as atividades e atribuições profissionais do arquiteto e urbanista e dá outras providências</w:t>
      </w:r>
      <w:r w:rsidRPr="00C5036B">
        <w:rPr>
          <w:rFonts w:asciiTheme="minorHAnsi" w:hAnsiTheme="minorHAnsi" w:cstheme="minorHAnsi"/>
          <w:sz w:val="22"/>
          <w:szCs w:val="22"/>
        </w:rPr>
        <w:t>” e a Resolução CAU/BR nº 051/2013, a qual “</w:t>
      </w:r>
      <w:r w:rsidRPr="00C5036B">
        <w:rPr>
          <w:rFonts w:asciiTheme="minorHAnsi" w:hAnsiTheme="minorHAnsi" w:cstheme="minorHAnsi"/>
          <w:i/>
          <w:sz w:val="22"/>
          <w:szCs w:val="22"/>
        </w:rPr>
        <w:t>dispõe sobre as áreas de atuação privativas dos arquitetos e urbanistas e as áreas de atuação compartilhadas com outras profissões regulamentadas, e dá outras providências.</w:t>
      </w:r>
      <w:r w:rsidRPr="00C5036B">
        <w:rPr>
          <w:rFonts w:asciiTheme="minorHAnsi" w:hAnsiTheme="minorHAnsi" w:cstheme="minorHAnsi"/>
          <w:sz w:val="22"/>
          <w:szCs w:val="22"/>
        </w:rPr>
        <w:t>”;</w:t>
      </w:r>
    </w:p>
    <w:p w:rsidR="004810EF" w:rsidRPr="00C5036B" w:rsidRDefault="004810E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810EF" w:rsidRPr="00C5036B" w:rsidRDefault="004810EF" w:rsidP="004810E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Considerando que a Resolução CONFEA nº 1.010/2005, a qual se encontrava válida quando do advento da Lei nº 12.378/2010, disciplinou com harmonia as atividades, as atribuições e os campos de atuação das profissões de arquitetura e urbanismo e de engenharia, indicando individualmente as competências de cada profissão;</w:t>
      </w:r>
    </w:p>
    <w:p w:rsidR="004810EF" w:rsidRPr="00C5036B" w:rsidRDefault="004810EF" w:rsidP="004810E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4098F" w:rsidRPr="00C5036B" w:rsidRDefault="004810EF" w:rsidP="004810E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Considerando que, em razão de não haver resolução conjunta posterior à Lei nº 12.378/2010, pode-se utilizar a Resolução CONFEA nº 1.010/2005 como última norma em que havia harmonia entre as profissões;</w:t>
      </w:r>
    </w:p>
    <w:p w:rsidR="004810EF" w:rsidRPr="00C5036B" w:rsidRDefault="004810EF" w:rsidP="00C4098F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0664D" w:rsidRPr="00C5036B" w:rsidRDefault="00C0664D" w:rsidP="00C5036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36B">
        <w:rPr>
          <w:rFonts w:asciiTheme="minorHAnsi" w:hAnsiTheme="minorHAnsi" w:cstheme="minorHAnsi"/>
          <w:b/>
          <w:sz w:val="22"/>
          <w:szCs w:val="22"/>
        </w:rPr>
        <w:t>DELIBEROU</w:t>
      </w:r>
      <w:r w:rsidR="00901719" w:rsidRPr="00C5036B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C5036B">
        <w:rPr>
          <w:rFonts w:asciiTheme="minorHAnsi" w:hAnsiTheme="minorHAnsi" w:cstheme="minorHAnsi"/>
          <w:b/>
          <w:sz w:val="22"/>
          <w:szCs w:val="22"/>
        </w:rPr>
        <w:t>:</w:t>
      </w:r>
    </w:p>
    <w:p w:rsidR="00C0664D" w:rsidRPr="00C5036B" w:rsidRDefault="00C0664D" w:rsidP="00C0664D">
      <w:pPr>
        <w:tabs>
          <w:tab w:val="left" w:pos="142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138E2" w:rsidRPr="00C5036B" w:rsidRDefault="009861A6" w:rsidP="000A149C">
      <w:pPr>
        <w:pStyle w:val="PargrafodaLista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 xml:space="preserve">Solicitar </w:t>
      </w:r>
      <w:r w:rsidR="00C5036B">
        <w:rPr>
          <w:rFonts w:asciiTheme="minorHAnsi" w:hAnsiTheme="minorHAnsi" w:cstheme="minorHAnsi"/>
          <w:sz w:val="22"/>
          <w:szCs w:val="22"/>
        </w:rPr>
        <w:t xml:space="preserve">que o </w:t>
      </w:r>
      <w:r w:rsidR="009138E2" w:rsidRPr="00C5036B">
        <w:rPr>
          <w:rFonts w:asciiTheme="minorHAnsi" w:hAnsiTheme="minorHAnsi" w:cstheme="minorHAnsi"/>
          <w:sz w:val="22"/>
          <w:szCs w:val="22"/>
        </w:rPr>
        <w:t>CAU/BR</w:t>
      </w:r>
      <w:r w:rsidR="00C5036B">
        <w:rPr>
          <w:rFonts w:asciiTheme="minorHAnsi" w:hAnsiTheme="minorHAnsi" w:cstheme="minorHAnsi"/>
          <w:sz w:val="22"/>
          <w:szCs w:val="22"/>
        </w:rPr>
        <w:t xml:space="preserve"> aplique </w:t>
      </w:r>
      <w:r w:rsidRPr="00C5036B">
        <w:rPr>
          <w:rFonts w:asciiTheme="minorHAnsi" w:hAnsiTheme="minorHAnsi" w:cstheme="minorHAnsi"/>
          <w:sz w:val="22"/>
          <w:szCs w:val="22"/>
        </w:rPr>
        <w:t xml:space="preserve">integralmente a Resolução 51, de 12 de julho de 2013, </w:t>
      </w:r>
      <w:r w:rsidR="00C5036B">
        <w:rPr>
          <w:rFonts w:asciiTheme="minorHAnsi" w:hAnsiTheme="minorHAnsi" w:cstheme="minorHAnsi"/>
          <w:sz w:val="22"/>
          <w:szCs w:val="22"/>
        </w:rPr>
        <w:t>de modo que sejam consideradas as</w:t>
      </w:r>
      <w:r w:rsidR="000A149C" w:rsidRPr="00C5036B">
        <w:rPr>
          <w:rFonts w:asciiTheme="minorHAnsi" w:hAnsiTheme="minorHAnsi" w:cstheme="minorHAnsi"/>
          <w:sz w:val="22"/>
          <w:szCs w:val="22"/>
        </w:rPr>
        <w:t xml:space="preserve"> áreas de atuação privativas dos arquitetos e urbanistas</w:t>
      </w:r>
      <w:r w:rsidR="009138E2" w:rsidRPr="00C5036B">
        <w:rPr>
          <w:rFonts w:asciiTheme="minorHAnsi" w:hAnsiTheme="minorHAnsi" w:cstheme="minorHAnsi"/>
          <w:sz w:val="22"/>
          <w:szCs w:val="22"/>
        </w:rPr>
        <w:t>;</w:t>
      </w:r>
    </w:p>
    <w:p w:rsidR="00D43C81" w:rsidRPr="00C5036B" w:rsidRDefault="00D43C81" w:rsidP="00D43C81">
      <w:pPr>
        <w:pStyle w:val="PargrafodaLista"/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4810EF" w:rsidRPr="00C5036B" w:rsidRDefault="000A149C" w:rsidP="004810EF">
      <w:pPr>
        <w:pStyle w:val="PargrafodaLista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>Estabelecer</w:t>
      </w:r>
      <w:r w:rsidR="00C5036B">
        <w:rPr>
          <w:rFonts w:asciiTheme="minorHAnsi" w:hAnsiTheme="minorHAnsi" w:cstheme="minorHAnsi"/>
          <w:sz w:val="22"/>
          <w:szCs w:val="22"/>
        </w:rPr>
        <w:t xml:space="preserve"> que, para análise referente as questões não previstas</w:t>
      </w:r>
      <w:r w:rsidRPr="00C5036B">
        <w:rPr>
          <w:rFonts w:asciiTheme="minorHAnsi" w:hAnsiTheme="minorHAnsi" w:cstheme="minorHAnsi"/>
          <w:sz w:val="22"/>
          <w:szCs w:val="22"/>
        </w:rPr>
        <w:t xml:space="preserve"> </w:t>
      </w:r>
      <w:r w:rsidR="00C5036B">
        <w:rPr>
          <w:rFonts w:asciiTheme="minorHAnsi" w:hAnsiTheme="minorHAnsi" w:cstheme="minorHAnsi"/>
          <w:sz w:val="22"/>
          <w:szCs w:val="22"/>
        </w:rPr>
        <w:t xml:space="preserve">na Resolução 51, </w:t>
      </w:r>
      <w:r w:rsidRPr="00C5036B">
        <w:rPr>
          <w:rFonts w:asciiTheme="minorHAnsi" w:hAnsiTheme="minorHAnsi" w:cstheme="minorHAnsi"/>
          <w:sz w:val="22"/>
          <w:szCs w:val="22"/>
        </w:rPr>
        <w:t xml:space="preserve">o CAU/RS adotará as atribuições definidas pela Resolução CONFEA nº 1010/2005, e seu anexo II, como resolução conjunta, em que há harmonia entre as profissões, e tomar providências com o fim de utilizá-la como parâmetro na defesa das atribuições próprias da arquitetura e urbanismo, </w:t>
      </w:r>
      <w:r w:rsidR="00C5036B">
        <w:rPr>
          <w:rFonts w:asciiTheme="minorHAnsi" w:hAnsiTheme="minorHAnsi" w:cstheme="minorHAnsi"/>
          <w:sz w:val="22"/>
          <w:szCs w:val="22"/>
        </w:rPr>
        <w:t xml:space="preserve">por considerar desnecessária </w:t>
      </w:r>
      <w:r w:rsidRPr="00C5036B">
        <w:rPr>
          <w:rFonts w:asciiTheme="minorHAnsi" w:hAnsiTheme="minorHAnsi" w:cstheme="minorHAnsi"/>
          <w:sz w:val="22"/>
          <w:szCs w:val="22"/>
        </w:rPr>
        <w:t>a edição de resolução conjunta para validar matéria previamente regulada em legislação específica.</w:t>
      </w:r>
    </w:p>
    <w:p w:rsidR="007D5FD8" w:rsidRPr="00C5036B" w:rsidRDefault="007D5FD8" w:rsidP="007D5FD8">
      <w:pPr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C5036B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7D5FD8" w:rsidRPr="00C5036B" w:rsidRDefault="007D5FD8" w:rsidP="007D5FD8">
      <w:pPr>
        <w:pStyle w:val="PargrafodaLista"/>
        <w:tabs>
          <w:tab w:val="left" w:pos="142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C5036B" w:rsidRPr="003A279E" w:rsidRDefault="00C5036B" w:rsidP="00C5036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A279E">
        <w:rPr>
          <w:rFonts w:asciiTheme="minorHAnsi" w:hAnsiTheme="minorHAnsi" w:cstheme="minorHAnsi"/>
          <w:sz w:val="22"/>
          <w:szCs w:val="22"/>
          <w:lang w:eastAsia="pt-BR"/>
        </w:rPr>
        <w:t xml:space="preserve">Com </w:t>
      </w:r>
      <w:r>
        <w:rPr>
          <w:rFonts w:asciiTheme="minorHAnsi" w:hAnsiTheme="minorHAnsi" w:cstheme="minorHAnsi"/>
          <w:sz w:val="22"/>
          <w:szCs w:val="22"/>
          <w:lang w:eastAsia="pt-BR"/>
        </w:rPr>
        <w:t>13</w:t>
      </w:r>
      <w:r w:rsidRPr="003A279E">
        <w:rPr>
          <w:rFonts w:asciiTheme="minorHAnsi" w:hAnsiTheme="minorHAnsi" w:cstheme="minorHAnsi"/>
          <w:sz w:val="22"/>
          <w:szCs w:val="22"/>
          <w:lang w:eastAsia="pt-BR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eastAsia="pt-BR"/>
        </w:rPr>
        <w:t>treze</w:t>
      </w:r>
      <w:r w:rsidRPr="003A279E">
        <w:rPr>
          <w:rFonts w:asciiTheme="minorHAnsi" w:hAnsiTheme="minorHAnsi" w:cstheme="minorHAnsi"/>
          <w:sz w:val="22"/>
          <w:szCs w:val="22"/>
          <w:lang w:eastAsia="pt-BR"/>
        </w:rPr>
        <w:t>) votos favoráveis dos conselheiros Alvino Jara, Claudio Fischer, Carlos Fabiano Santos Pitzer, Helenice Macedo do Couto, José Arthur Fell, Matias Revello Vazquez, Oritz Adriano Adams de Campos, Pa</w:t>
      </w:r>
      <w:r>
        <w:rPr>
          <w:rFonts w:asciiTheme="minorHAnsi" w:hAnsiTheme="minorHAnsi" w:cstheme="minorHAnsi"/>
          <w:sz w:val="22"/>
          <w:szCs w:val="22"/>
          <w:lang w:eastAsia="pt-BR"/>
        </w:rPr>
        <w:t>ulo Fernando do Amaral Fontana</w:t>
      </w:r>
      <w:r w:rsidRPr="003A279E">
        <w:rPr>
          <w:rFonts w:asciiTheme="minorHAnsi" w:hAnsiTheme="minorHAnsi" w:cstheme="minorHAnsi"/>
          <w:sz w:val="22"/>
          <w:szCs w:val="22"/>
          <w:lang w:eastAsia="pt-BR"/>
        </w:rPr>
        <w:t xml:space="preserve">, Raquel Rhoden Bresolin, Roberto Luiz Decó, Rodrigo Spinelli, Rui Mineiro e Jorge </w:t>
      </w:r>
      <w:proofErr w:type="spellStart"/>
      <w:r w:rsidRPr="003A279E">
        <w:rPr>
          <w:rFonts w:asciiTheme="minorHAnsi" w:hAnsiTheme="minorHAnsi" w:cstheme="minorHAnsi"/>
          <w:sz w:val="22"/>
          <w:szCs w:val="22"/>
          <w:lang w:eastAsia="pt-BR"/>
        </w:rPr>
        <w:t>Luíz</w:t>
      </w:r>
      <w:proofErr w:type="spellEnd"/>
      <w:r w:rsidRPr="003A279E">
        <w:rPr>
          <w:rFonts w:asciiTheme="minorHAnsi" w:hAnsiTheme="minorHAnsi" w:cstheme="minorHAnsi"/>
          <w:sz w:val="22"/>
          <w:szCs w:val="22"/>
          <w:lang w:eastAsia="pt-BR"/>
        </w:rPr>
        <w:t xml:space="preserve"> Stocker Júnior e </w:t>
      </w:r>
      <w:r>
        <w:rPr>
          <w:rFonts w:asciiTheme="minorHAnsi" w:hAnsiTheme="minorHAnsi" w:cstheme="minorHAnsi"/>
          <w:sz w:val="22"/>
          <w:szCs w:val="22"/>
          <w:lang w:eastAsia="pt-BR"/>
        </w:rPr>
        <w:t>05</w:t>
      </w:r>
      <w:r w:rsidRPr="003A279E">
        <w:rPr>
          <w:rFonts w:asciiTheme="minorHAnsi" w:hAnsiTheme="minorHAnsi" w:cstheme="minorHAnsi"/>
          <w:sz w:val="22"/>
          <w:szCs w:val="22"/>
          <w:lang w:eastAsia="pt-BR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eastAsia="pt-BR"/>
        </w:rPr>
        <w:t>cinco</w:t>
      </w:r>
      <w:r w:rsidRPr="003A279E">
        <w:rPr>
          <w:rFonts w:asciiTheme="minorHAnsi" w:hAnsiTheme="minorHAnsi" w:cstheme="minorHAnsi"/>
          <w:sz w:val="22"/>
          <w:szCs w:val="22"/>
          <w:lang w:eastAsia="pt-BR"/>
        </w:rPr>
        <w:t>) ausências dos Conselheiros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Noé Vega Cotta de Mello, Paulo Ricardo Bregatto, </w:t>
      </w:r>
      <w:r w:rsidRPr="003A279E">
        <w:rPr>
          <w:rFonts w:asciiTheme="minorHAnsi" w:hAnsiTheme="minorHAnsi" w:cstheme="minorHAnsi"/>
          <w:sz w:val="22"/>
          <w:szCs w:val="22"/>
          <w:lang w:eastAsia="pt-BR"/>
        </w:rPr>
        <w:t xml:space="preserve">Renata Camilo Maraschin, Emilio Merino Dominguez e Magali </w:t>
      </w:r>
      <w:proofErr w:type="spellStart"/>
      <w:r w:rsidRPr="003A279E">
        <w:rPr>
          <w:rFonts w:asciiTheme="minorHAnsi" w:hAnsiTheme="minorHAnsi" w:cstheme="minorHAnsi"/>
          <w:sz w:val="22"/>
          <w:szCs w:val="22"/>
          <w:lang w:eastAsia="pt-BR"/>
        </w:rPr>
        <w:t>Mingoti</w:t>
      </w:r>
      <w:proofErr w:type="spellEnd"/>
      <w:r w:rsidRPr="003A279E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C5036B" w:rsidRPr="00E42C8A" w:rsidRDefault="00C5036B" w:rsidP="00C5036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D5FD8" w:rsidRPr="00C5036B" w:rsidRDefault="007D5FD8" w:rsidP="007D5FD8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  <w:r w:rsidRPr="00C5036B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752F27" w:rsidRPr="00C5036B">
        <w:rPr>
          <w:rFonts w:asciiTheme="minorHAnsi" w:hAnsiTheme="minorHAnsi" w:cstheme="minorHAnsi"/>
          <w:sz w:val="22"/>
          <w:szCs w:val="22"/>
        </w:rPr>
        <w:t>19</w:t>
      </w:r>
      <w:r w:rsidRPr="00C5036B">
        <w:rPr>
          <w:rFonts w:asciiTheme="minorHAnsi" w:hAnsiTheme="minorHAnsi" w:cstheme="minorHAnsi"/>
          <w:sz w:val="22"/>
          <w:szCs w:val="22"/>
        </w:rPr>
        <w:t xml:space="preserve"> de ju</w:t>
      </w:r>
      <w:r w:rsidR="00752F27" w:rsidRPr="00C5036B">
        <w:rPr>
          <w:rFonts w:asciiTheme="minorHAnsi" w:hAnsiTheme="minorHAnsi" w:cstheme="minorHAnsi"/>
          <w:sz w:val="22"/>
          <w:szCs w:val="22"/>
        </w:rPr>
        <w:t>l</w:t>
      </w:r>
      <w:r w:rsidRPr="00C5036B">
        <w:rPr>
          <w:rFonts w:asciiTheme="minorHAnsi" w:hAnsiTheme="minorHAnsi" w:cstheme="minorHAnsi"/>
          <w:sz w:val="22"/>
          <w:szCs w:val="22"/>
        </w:rPr>
        <w:t>ho de 2019.</w:t>
      </w:r>
    </w:p>
    <w:p w:rsidR="007D5FD8" w:rsidRPr="00C5036B" w:rsidRDefault="007D5FD8" w:rsidP="007D5FD8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A67D27" w:rsidRPr="00C5036B" w:rsidRDefault="00A67D27" w:rsidP="007D5FD8">
      <w:pPr>
        <w:tabs>
          <w:tab w:val="left" w:pos="8647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D5FD8" w:rsidRPr="00C5036B" w:rsidRDefault="007D5FD8" w:rsidP="007D5FD8">
      <w:pPr>
        <w:tabs>
          <w:tab w:val="left" w:pos="8647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5036B">
        <w:rPr>
          <w:rFonts w:asciiTheme="minorHAnsi" w:hAnsiTheme="minorHAnsi" w:cstheme="minorHAnsi"/>
          <w:bCs/>
          <w:sz w:val="22"/>
          <w:szCs w:val="22"/>
        </w:rPr>
        <w:t xml:space="preserve">TIAGO HOLZMANN DA SILVA </w:t>
      </w:r>
    </w:p>
    <w:p w:rsidR="009138E2" w:rsidRPr="00C5036B" w:rsidRDefault="007D5FD8" w:rsidP="007D5FD8">
      <w:pPr>
        <w:tabs>
          <w:tab w:val="left" w:pos="8647"/>
        </w:tabs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C5036B">
        <w:rPr>
          <w:rFonts w:asciiTheme="minorHAnsi" w:hAnsiTheme="minorHAnsi" w:cstheme="minorHAnsi"/>
          <w:bCs/>
          <w:iCs/>
          <w:sz w:val="22"/>
          <w:szCs w:val="22"/>
        </w:rPr>
        <w:t>Presidente do CAU/RS</w:t>
      </w:r>
    </w:p>
    <w:p w:rsidR="008F0C15" w:rsidRPr="00C5036B" w:rsidRDefault="009138E2" w:rsidP="009C75F1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C5036B">
        <w:rPr>
          <w:rFonts w:asciiTheme="minorHAnsi" w:hAnsiTheme="minorHAnsi" w:cstheme="minorHAnsi"/>
          <w:bCs/>
          <w:iCs/>
          <w:sz w:val="22"/>
          <w:szCs w:val="22"/>
        </w:rPr>
        <w:br w:type="page"/>
      </w:r>
      <w:r w:rsidR="008F0C15" w:rsidRPr="00C503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99ª REUNIÃO PLENÁRIA ORDINÁRIA DO CAU/RS</w:t>
      </w:r>
    </w:p>
    <w:p w:rsidR="008F0C15" w:rsidRPr="00C5036B" w:rsidRDefault="008F0C15" w:rsidP="008F0C15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C5036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Folha de Votação </w:t>
      </w:r>
    </w:p>
    <w:p w:rsidR="008F0C15" w:rsidRPr="00C5036B" w:rsidRDefault="008F0C15" w:rsidP="008F0C15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8F0C15" w:rsidRPr="00C5036B" w:rsidTr="007F4C1D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</w:tr>
      <w:tr w:rsidR="008F0C15" w:rsidRPr="00C5036B" w:rsidTr="007F4C1D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C5036B" w:rsidRDefault="008F0C15" w:rsidP="007F4C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b/>
                <w:sz w:val="22"/>
                <w:szCs w:val="22"/>
              </w:rPr>
              <w:t>Ausência</w:t>
            </w: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282190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282190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282190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9138E2" w:rsidP="009138E2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C5036B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C5036B" w:rsidRDefault="008F0C15" w:rsidP="007F4C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 xml:space="preserve">Jorge </w:t>
            </w:r>
            <w:proofErr w:type="spellStart"/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Luíz</w:t>
            </w:r>
            <w:proofErr w:type="spellEnd"/>
            <w:r w:rsidRPr="00C5036B">
              <w:rPr>
                <w:rFonts w:asciiTheme="minorHAnsi" w:hAnsiTheme="minorHAnsi" w:cstheme="minorHAnsi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0A149C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36B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C5036B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F0C15" w:rsidRPr="00C5036B" w:rsidRDefault="008F0C15" w:rsidP="008F0C15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8F0C15" w:rsidRPr="00C5036B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9C75F1" w:rsidRDefault="008F0C15" w:rsidP="007F4C1D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C75F1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8F0C15" w:rsidRPr="00C5036B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9C75F1" w:rsidRDefault="008F0C15" w:rsidP="007F4C1D">
            <w:pPr>
              <w:tabs>
                <w:tab w:val="left" w:pos="1418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9C75F1">
              <w:rPr>
                <w:rFonts w:asciiTheme="minorHAnsi" w:hAnsiTheme="minorHAnsi" w:cstheme="minorHAnsi"/>
                <w:b/>
                <w:sz w:val="20"/>
                <w:szCs w:val="22"/>
              </w:rPr>
              <w:t>Reunião Plenária Ordinária nº 99ª</w:t>
            </w:r>
          </w:p>
        </w:tc>
      </w:tr>
      <w:tr w:rsidR="008F0C15" w:rsidRPr="00C5036B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9C75F1" w:rsidRDefault="008F0C15" w:rsidP="007F4C1D">
            <w:pPr>
              <w:tabs>
                <w:tab w:val="left" w:pos="1418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9C75F1">
              <w:rPr>
                <w:rFonts w:asciiTheme="minorHAnsi" w:hAnsiTheme="minorHAnsi" w:cstheme="minorHAnsi"/>
                <w:b/>
                <w:sz w:val="20"/>
                <w:szCs w:val="22"/>
              </w:rPr>
              <w:t>Data: 19/07/2019</w:t>
            </w:r>
          </w:p>
          <w:p w:rsidR="008F0C15" w:rsidRPr="009C75F1" w:rsidRDefault="008F0C15" w:rsidP="007F4C1D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9C75F1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Matéria em votação: </w:t>
            </w:r>
            <w:r w:rsidR="009138E2" w:rsidRPr="009C75F1">
              <w:rPr>
                <w:rFonts w:asciiTheme="minorHAnsi" w:hAnsiTheme="minorHAnsi" w:cstheme="minorHAnsi"/>
                <w:sz w:val="20"/>
                <w:szCs w:val="22"/>
              </w:rPr>
              <w:t>Homologa encaminhamento ao CAU/BR de solicitação de esclarecimentos quanto às atribuições privativas constantes na Resolução CAU/BR nº 51/2013.</w:t>
            </w:r>
          </w:p>
          <w:p w:rsidR="008F0C15" w:rsidRPr="009C75F1" w:rsidRDefault="008F0C15" w:rsidP="007F4C1D">
            <w:pPr>
              <w:tabs>
                <w:tab w:val="left" w:pos="1252"/>
              </w:tabs>
              <w:rPr>
                <w:rFonts w:asciiTheme="minorHAnsi" w:hAnsiTheme="minorHAnsi" w:cstheme="minorHAnsi"/>
                <w:sz w:val="20"/>
                <w:szCs w:val="22"/>
              </w:rPr>
            </w:pPr>
            <w:r w:rsidRPr="009C75F1">
              <w:rPr>
                <w:rFonts w:asciiTheme="minorHAnsi" w:hAnsiTheme="minorHAnsi" w:cstheme="minorHAnsi"/>
                <w:sz w:val="20"/>
                <w:szCs w:val="22"/>
              </w:rPr>
              <w:tab/>
            </w:r>
          </w:p>
        </w:tc>
      </w:tr>
      <w:tr w:rsidR="008F0C15" w:rsidRPr="00C5036B" w:rsidTr="007F4C1D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8F0C15" w:rsidRPr="009C75F1" w:rsidRDefault="008F0C15" w:rsidP="007F4C1D">
            <w:pPr>
              <w:tabs>
                <w:tab w:val="left" w:pos="1418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9C75F1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Resultado da votação: Sim </w:t>
            </w:r>
            <w:r w:rsidRPr="009C75F1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="00C51D9C" w:rsidRPr="009C75F1">
              <w:rPr>
                <w:rFonts w:asciiTheme="minorHAnsi" w:hAnsiTheme="minorHAnsi" w:cstheme="minorHAnsi"/>
                <w:sz w:val="20"/>
                <w:szCs w:val="22"/>
              </w:rPr>
              <w:t>13</w:t>
            </w:r>
            <w:r w:rsidRPr="009C75F1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Pr="009C75F1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Não </w:t>
            </w:r>
            <w:r w:rsidRPr="009C75F1">
              <w:rPr>
                <w:rFonts w:asciiTheme="minorHAnsi" w:hAnsiTheme="minorHAnsi" w:cstheme="minorHAnsi"/>
                <w:sz w:val="20"/>
                <w:szCs w:val="22"/>
              </w:rPr>
              <w:t xml:space="preserve">() </w:t>
            </w:r>
            <w:r w:rsidRPr="009C75F1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Abstenções </w:t>
            </w:r>
            <w:r w:rsidRPr="009C75F1">
              <w:rPr>
                <w:rFonts w:asciiTheme="minorHAnsi" w:hAnsiTheme="minorHAnsi" w:cstheme="minorHAnsi"/>
                <w:sz w:val="20"/>
                <w:szCs w:val="22"/>
              </w:rPr>
              <w:t xml:space="preserve">() </w:t>
            </w:r>
            <w:r w:rsidRPr="009C75F1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Ausências </w:t>
            </w:r>
            <w:r w:rsidRPr="009C75F1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="00C51D9C" w:rsidRPr="009C75F1">
              <w:rPr>
                <w:rFonts w:asciiTheme="minorHAnsi" w:hAnsiTheme="minorHAnsi" w:cstheme="minorHAnsi"/>
                <w:sz w:val="20"/>
                <w:szCs w:val="22"/>
              </w:rPr>
              <w:t>05</w:t>
            </w:r>
            <w:r w:rsidRPr="009C75F1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Pr="009C75F1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Total </w:t>
            </w:r>
            <w:r w:rsidRPr="009C75F1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="00C51D9C" w:rsidRPr="009C75F1">
              <w:rPr>
                <w:rFonts w:asciiTheme="minorHAnsi" w:hAnsiTheme="minorHAnsi" w:cstheme="minorHAnsi"/>
                <w:sz w:val="20"/>
                <w:szCs w:val="22"/>
              </w:rPr>
              <w:t>18</w:t>
            </w:r>
            <w:r w:rsidRPr="009C75F1">
              <w:rPr>
                <w:rFonts w:asciiTheme="minorHAnsi" w:hAnsiTheme="minorHAnsi" w:cstheme="minorHAnsi"/>
                <w:sz w:val="20"/>
                <w:szCs w:val="22"/>
              </w:rPr>
              <w:t>)</w:t>
            </w:r>
          </w:p>
        </w:tc>
      </w:tr>
      <w:tr w:rsidR="008F0C15" w:rsidRPr="00C5036B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9C75F1" w:rsidRDefault="008F0C15" w:rsidP="007F4C1D">
            <w:pPr>
              <w:tabs>
                <w:tab w:val="left" w:pos="1418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9C75F1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Ocorrências: </w:t>
            </w:r>
            <w:r w:rsidRPr="009C75F1">
              <w:rPr>
                <w:rFonts w:asciiTheme="minorHAnsi" w:hAnsiTheme="minorHAnsi" w:cstheme="minorHAnsi"/>
                <w:sz w:val="20"/>
                <w:szCs w:val="22"/>
              </w:rPr>
              <w:t>Não houve.</w:t>
            </w:r>
          </w:p>
        </w:tc>
      </w:tr>
      <w:tr w:rsidR="008F0C15" w:rsidRPr="00C5036B" w:rsidTr="007F4C1D">
        <w:trPr>
          <w:trHeight w:val="257"/>
        </w:trPr>
        <w:tc>
          <w:tcPr>
            <w:tcW w:w="4530" w:type="dxa"/>
            <w:shd w:val="clear" w:color="auto" w:fill="D9D9D9"/>
          </w:tcPr>
          <w:p w:rsidR="008F0C15" w:rsidRPr="009C75F1" w:rsidRDefault="008F0C15" w:rsidP="007F4C1D">
            <w:pPr>
              <w:tabs>
                <w:tab w:val="left" w:pos="1418"/>
              </w:tabs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9C75F1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Secretário da Reunião: </w:t>
            </w:r>
            <w:r w:rsidRPr="009C75F1">
              <w:rPr>
                <w:rFonts w:asciiTheme="minorHAnsi" w:hAnsiTheme="minorHAnsi" w:cstheme="minorHAnsi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8F0C15" w:rsidRPr="009C75F1" w:rsidRDefault="008F0C15" w:rsidP="007F4C1D">
            <w:pPr>
              <w:jc w:val="both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9C75F1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Presidente da Reunião: </w:t>
            </w:r>
            <w:r w:rsidRPr="009C75F1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037508" w:rsidRPr="00C5036B" w:rsidRDefault="00037508" w:rsidP="008F0C15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:rsidR="00D213CD" w:rsidRPr="00C5036B" w:rsidRDefault="00D213CD" w:rsidP="00037508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213CD" w:rsidRPr="00C5036B" w:rsidSect="00A57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21" w:rsidRDefault="00292C21" w:rsidP="004C3048">
      <w:r>
        <w:separator/>
      </w:r>
    </w:p>
  </w:endnote>
  <w:endnote w:type="continuationSeparator" w:id="0">
    <w:p w:rsidR="00292C21" w:rsidRDefault="00292C2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5950FA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92C21" w:rsidRPr="005F2A2D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C76F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C76F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21" w:rsidRDefault="00292C21" w:rsidP="004C3048">
      <w:r>
        <w:separator/>
      </w:r>
    </w:p>
  </w:footnote>
  <w:footnote w:type="continuationSeparator" w:id="0">
    <w:p w:rsidR="00292C21" w:rsidRDefault="00292C2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Default="00292C2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82C1FF1"/>
    <w:multiLevelType w:val="multilevel"/>
    <w:tmpl w:val="287C6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3">
    <w:nsid w:val="6F2B2196"/>
    <w:multiLevelType w:val="hybridMultilevel"/>
    <w:tmpl w:val="613A7632"/>
    <w:lvl w:ilvl="0" w:tplc="4F5AA820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423BDE"/>
    <w:multiLevelType w:val="multilevel"/>
    <w:tmpl w:val="5A26BD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6">
    <w:nsid w:val="794653A0"/>
    <w:multiLevelType w:val="hybridMultilevel"/>
    <w:tmpl w:val="91E0B772"/>
    <w:lvl w:ilvl="0" w:tplc="D0CCE0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4"/>
  </w:num>
  <w:num w:numId="5">
    <w:abstractNumId w:val="9"/>
  </w:num>
  <w:num w:numId="6">
    <w:abstractNumId w:val="17"/>
  </w:num>
  <w:num w:numId="7">
    <w:abstractNumId w:val="14"/>
  </w:num>
  <w:num w:numId="8">
    <w:abstractNumId w:val="10"/>
  </w:num>
  <w:num w:numId="9">
    <w:abstractNumId w:val="0"/>
  </w:num>
  <w:num w:numId="10">
    <w:abstractNumId w:val="18"/>
  </w:num>
  <w:num w:numId="11">
    <w:abstractNumId w:val="5"/>
  </w:num>
  <w:num w:numId="12">
    <w:abstractNumId w:val="2"/>
  </w:num>
  <w:num w:numId="13">
    <w:abstractNumId w:val="16"/>
  </w:num>
  <w:num w:numId="14">
    <w:abstractNumId w:val="13"/>
  </w:num>
  <w:num w:numId="15">
    <w:abstractNumId w:val="8"/>
  </w:num>
  <w:num w:numId="16">
    <w:abstractNumId w:val="3"/>
  </w:num>
  <w:num w:numId="17">
    <w:abstractNumId w:val="6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37508"/>
    <w:rsid w:val="00040A86"/>
    <w:rsid w:val="000425B3"/>
    <w:rsid w:val="000527E4"/>
    <w:rsid w:val="000605F6"/>
    <w:rsid w:val="00062599"/>
    <w:rsid w:val="00065201"/>
    <w:rsid w:val="00067264"/>
    <w:rsid w:val="000803D1"/>
    <w:rsid w:val="00094D18"/>
    <w:rsid w:val="000A149C"/>
    <w:rsid w:val="000B098F"/>
    <w:rsid w:val="000C1A24"/>
    <w:rsid w:val="000C3500"/>
    <w:rsid w:val="000D3E3E"/>
    <w:rsid w:val="000D4C5E"/>
    <w:rsid w:val="000D5BC9"/>
    <w:rsid w:val="000E0909"/>
    <w:rsid w:val="000E2009"/>
    <w:rsid w:val="000F339D"/>
    <w:rsid w:val="000F7990"/>
    <w:rsid w:val="0010374D"/>
    <w:rsid w:val="00110CCE"/>
    <w:rsid w:val="00117EDD"/>
    <w:rsid w:val="00124A49"/>
    <w:rsid w:val="00132D25"/>
    <w:rsid w:val="00133AD2"/>
    <w:rsid w:val="00135D65"/>
    <w:rsid w:val="00143375"/>
    <w:rsid w:val="00150FB1"/>
    <w:rsid w:val="00151194"/>
    <w:rsid w:val="00170CA0"/>
    <w:rsid w:val="00174A5A"/>
    <w:rsid w:val="001778C5"/>
    <w:rsid w:val="00180FB9"/>
    <w:rsid w:val="001A0255"/>
    <w:rsid w:val="001B5148"/>
    <w:rsid w:val="001B5F62"/>
    <w:rsid w:val="001E56D2"/>
    <w:rsid w:val="001F61E5"/>
    <w:rsid w:val="00216C06"/>
    <w:rsid w:val="00220A16"/>
    <w:rsid w:val="00242749"/>
    <w:rsid w:val="002473AC"/>
    <w:rsid w:val="0025277E"/>
    <w:rsid w:val="0025716D"/>
    <w:rsid w:val="00280F33"/>
    <w:rsid w:val="00282190"/>
    <w:rsid w:val="00285A83"/>
    <w:rsid w:val="00292C21"/>
    <w:rsid w:val="00295FD5"/>
    <w:rsid w:val="002974CF"/>
    <w:rsid w:val="002A3A72"/>
    <w:rsid w:val="002A7C5E"/>
    <w:rsid w:val="002C6014"/>
    <w:rsid w:val="002C76F0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20980"/>
    <w:rsid w:val="0032148B"/>
    <w:rsid w:val="003411BA"/>
    <w:rsid w:val="00345B0C"/>
    <w:rsid w:val="00347324"/>
    <w:rsid w:val="003557D1"/>
    <w:rsid w:val="00357435"/>
    <w:rsid w:val="00360A08"/>
    <w:rsid w:val="00363FA5"/>
    <w:rsid w:val="00367DAC"/>
    <w:rsid w:val="00367F06"/>
    <w:rsid w:val="00371CAF"/>
    <w:rsid w:val="00383F38"/>
    <w:rsid w:val="003945A8"/>
    <w:rsid w:val="003A699B"/>
    <w:rsid w:val="003B39EE"/>
    <w:rsid w:val="003B4E9A"/>
    <w:rsid w:val="003B7D60"/>
    <w:rsid w:val="003C3C3A"/>
    <w:rsid w:val="003C484E"/>
    <w:rsid w:val="003D4CC1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10EF"/>
    <w:rsid w:val="00483414"/>
    <w:rsid w:val="004A3A07"/>
    <w:rsid w:val="004A6546"/>
    <w:rsid w:val="004B3023"/>
    <w:rsid w:val="004B4A03"/>
    <w:rsid w:val="004B5A5C"/>
    <w:rsid w:val="004B5DE8"/>
    <w:rsid w:val="004C3048"/>
    <w:rsid w:val="004D75DA"/>
    <w:rsid w:val="004E062B"/>
    <w:rsid w:val="004E1567"/>
    <w:rsid w:val="004F15C8"/>
    <w:rsid w:val="004F73E6"/>
    <w:rsid w:val="00500C6E"/>
    <w:rsid w:val="0050455C"/>
    <w:rsid w:val="00520640"/>
    <w:rsid w:val="00523F83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1FB6"/>
    <w:rsid w:val="00602BDB"/>
    <w:rsid w:val="0060634C"/>
    <w:rsid w:val="006130EF"/>
    <w:rsid w:val="00614679"/>
    <w:rsid w:val="00614C87"/>
    <w:rsid w:val="0063157F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3189D"/>
    <w:rsid w:val="00731BBD"/>
    <w:rsid w:val="007375FB"/>
    <w:rsid w:val="00740E14"/>
    <w:rsid w:val="00750C46"/>
    <w:rsid w:val="0075194D"/>
    <w:rsid w:val="00752F27"/>
    <w:rsid w:val="00757BDA"/>
    <w:rsid w:val="0076286B"/>
    <w:rsid w:val="00776B7B"/>
    <w:rsid w:val="00780069"/>
    <w:rsid w:val="00786A03"/>
    <w:rsid w:val="007B7B0D"/>
    <w:rsid w:val="007B7BB9"/>
    <w:rsid w:val="007C0FB9"/>
    <w:rsid w:val="007C50BE"/>
    <w:rsid w:val="007D1BCF"/>
    <w:rsid w:val="007D5FD8"/>
    <w:rsid w:val="008035DE"/>
    <w:rsid w:val="00805FC1"/>
    <w:rsid w:val="0081283D"/>
    <w:rsid w:val="0082067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7510C"/>
    <w:rsid w:val="00890C7F"/>
    <w:rsid w:val="00896878"/>
    <w:rsid w:val="008A6E88"/>
    <w:rsid w:val="008D4752"/>
    <w:rsid w:val="008E1728"/>
    <w:rsid w:val="008E54C5"/>
    <w:rsid w:val="008F0C15"/>
    <w:rsid w:val="008F159C"/>
    <w:rsid w:val="00901719"/>
    <w:rsid w:val="009073DD"/>
    <w:rsid w:val="009138E2"/>
    <w:rsid w:val="009269BD"/>
    <w:rsid w:val="00930D3C"/>
    <w:rsid w:val="0093154B"/>
    <w:rsid w:val="009332E4"/>
    <w:rsid w:val="009347B2"/>
    <w:rsid w:val="00944127"/>
    <w:rsid w:val="00945247"/>
    <w:rsid w:val="009461BD"/>
    <w:rsid w:val="0094772A"/>
    <w:rsid w:val="009643CB"/>
    <w:rsid w:val="00974359"/>
    <w:rsid w:val="009861A6"/>
    <w:rsid w:val="009B5DB8"/>
    <w:rsid w:val="009C55B9"/>
    <w:rsid w:val="009C581F"/>
    <w:rsid w:val="009C75F1"/>
    <w:rsid w:val="009D0886"/>
    <w:rsid w:val="009E3C4D"/>
    <w:rsid w:val="009E4022"/>
    <w:rsid w:val="009F43E0"/>
    <w:rsid w:val="00A050DB"/>
    <w:rsid w:val="00A143BC"/>
    <w:rsid w:val="00A2747D"/>
    <w:rsid w:val="00A40ECC"/>
    <w:rsid w:val="00A41DE6"/>
    <w:rsid w:val="00A43C37"/>
    <w:rsid w:val="00A5515C"/>
    <w:rsid w:val="00A565FE"/>
    <w:rsid w:val="00A570C2"/>
    <w:rsid w:val="00A57887"/>
    <w:rsid w:val="00A62383"/>
    <w:rsid w:val="00A67D27"/>
    <w:rsid w:val="00A80C65"/>
    <w:rsid w:val="00A83107"/>
    <w:rsid w:val="00AA2DDC"/>
    <w:rsid w:val="00AC1D72"/>
    <w:rsid w:val="00AE2654"/>
    <w:rsid w:val="00AF0FF4"/>
    <w:rsid w:val="00AF368E"/>
    <w:rsid w:val="00B04170"/>
    <w:rsid w:val="00B129F6"/>
    <w:rsid w:val="00B15D4F"/>
    <w:rsid w:val="00B2393E"/>
    <w:rsid w:val="00B23E93"/>
    <w:rsid w:val="00B309B7"/>
    <w:rsid w:val="00B3272B"/>
    <w:rsid w:val="00B37B9F"/>
    <w:rsid w:val="00B6066A"/>
    <w:rsid w:val="00B60EBD"/>
    <w:rsid w:val="00B63C2E"/>
    <w:rsid w:val="00B73A02"/>
    <w:rsid w:val="00B763CF"/>
    <w:rsid w:val="00B81197"/>
    <w:rsid w:val="00BB5E13"/>
    <w:rsid w:val="00BC73B6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098F"/>
    <w:rsid w:val="00C42605"/>
    <w:rsid w:val="00C45812"/>
    <w:rsid w:val="00C4698C"/>
    <w:rsid w:val="00C5036B"/>
    <w:rsid w:val="00C51D9C"/>
    <w:rsid w:val="00C646F3"/>
    <w:rsid w:val="00C67F40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7D"/>
    <w:rsid w:val="00CF2FBA"/>
    <w:rsid w:val="00CF4F5A"/>
    <w:rsid w:val="00D05554"/>
    <w:rsid w:val="00D213CD"/>
    <w:rsid w:val="00D24E51"/>
    <w:rsid w:val="00D30558"/>
    <w:rsid w:val="00D32E81"/>
    <w:rsid w:val="00D33810"/>
    <w:rsid w:val="00D43467"/>
    <w:rsid w:val="00D43C81"/>
    <w:rsid w:val="00D56A62"/>
    <w:rsid w:val="00D62C61"/>
    <w:rsid w:val="00D646D8"/>
    <w:rsid w:val="00D67B4E"/>
    <w:rsid w:val="00D802D9"/>
    <w:rsid w:val="00D8349F"/>
    <w:rsid w:val="00D9535A"/>
    <w:rsid w:val="00DB0CAD"/>
    <w:rsid w:val="00DB17F5"/>
    <w:rsid w:val="00DB4045"/>
    <w:rsid w:val="00DB4EA6"/>
    <w:rsid w:val="00DC48BD"/>
    <w:rsid w:val="00DD09A6"/>
    <w:rsid w:val="00DD16FB"/>
    <w:rsid w:val="00DE67B2"/>
    <w:rsid w:val="00DF2B5B"/>
    <w:rsid w:val="00E00DCA"/>
    <w:rsid w:val="00E013C8"/>
    <w:rsid w:val="00E04191"/>
    <w:rsid w:val="00E0487E"/>
    <w:rsid w:val="00E12EC2"/>
    <w:rsid w:val="00E159E1"/>
    <w:rsid w:val="00E22ADE"/>
    <w:rsid w:val="00E22AF6"/>
    <w:rsid w:val="00E26E64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87B74"/>
    <w:rsid w:val="00F942C7"/>
    <w:rsid w:val="00FA1A43"/>
    <w:rsid w:val="00FB0D35"/>
    <w:rsid w:val="00FB372F"/>
    <w:rsid w:val="00FB3EE0"/>
    <w:rsid w:val="00FC6A2F"/>
    <w:rsid w:val="00FC73FB"/>
    <w:rsid w:val="00FD4628"/>
    <w:rsid w:val="00FE6CE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B091B-7A40-4AC6-A668-5B2183D0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1112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12</cp:revision>
  <cp:lastPrinted>2019-07-22T17:40:00Z</cp:lastPrinted>
  <dcterms:created xsi:type="dcterms:W3CDTF">2019-07-18T12:35:00Z</dcterms:created>
  <dcterms:modified xsi:type="dcterms:W3CDTF">2019-07-22T17:56:00Z</dcterms:modified>
</cp:coreProperties>
</file>