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4B33B3" w:rsidRPr="00836D3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836D33" w:rsidRDefault="00D53DA9" w:rsidP="00D53DA9">
            <w:pPr>
              <w:outlineLvl w:val="4"/>
              <w:rPr>
                <w:rFonts w:ascii="Times New Roman" w:hAnsi="Times New Roman"/>
                <w:sz w:val="20"/>
                <w:szCs w:val="20"/>
                <w:lang w:eastAsia="pt-BR"/>
              </w:rPr>
            </w:pPr>
            <w:r w:rsidRPr="00836D33">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836D33" w:rsidRDefault="00D53DA9" w:rsidP="00A45A92">
            <w:pPr>
              <w:widowControl w:val="0"/>
              <w:rPr>
                <w:rFonts w:ascii="Times New Roman" w:hAnsi="Times New Roman"/>
                <w:bCs/>
                <w:sz w:val="20"/>
                <w:szCs w:val="20"/>
                <w:highlight w:val="yellow"/>
                <w:lang w:eastAsia="pt-BR"/>
              </w:rPr>
            </w:pPr>
          </w:p>
        </w:tc>
      </w:tr>
      <w:tr w:rsidR="004B33B3" w:rsidRPr="00836D33"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836D33" w:rsidRDefault="0088776F" w:rsidP="0088776F">
            <w:pPr>
              <w:outlineLvl w:val="4"/>
              <w:rPr>
                <w:rFonts w:ascii="Times New Roman" w:hAnsi="Times New Roman"/>
                <w:sz w:val="20"/>
                <w:szCs w:val="20"/>
                <w:lang w:eastAsia="pt-BR"/>
              </w:rPr>
            </w:pPr>
            <w:r w:rsidRPr="00836D33">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836D33" w:rsidRDefault="00A45A92" w:rsidP="008619E1">
            <w:pPr>
              <w:rPr>
                <w:rFonts w:ascii="Times New Roman" w:hAnsi="Times New Roman"/>
                <w:sz w:val="20"/>
                <w:szCs w:val="20"/>
              </w:rPr>
            </w:pPr>
            <w:r w:rsidRPr="00836D33">
              <w:rPr>
                <w:rFonts w:ascii="Times New Roman" w:eastAsia="Calibri" w:hAnsi="Times New Roman"/>
                <w:sz w:val="20"/>
                <w:szCs w:val="20"/>
              </w:rPr>
              <w:t xml:space="preserve">Comissão de Exercício Profissional </w:t>
            </w:r>
          </w:p>
        </w:tc>
      </w:tr>
      <w:tr w:rsidR="004B33B3" w:rsidRPr="00836D33"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836D33" w:rsidRDefault="0088776F" w:rsidP="0088776F">
            <w:pPr>
              <w:rPr>
                <w:rFonts w:ascii="Times New Roman" w:hAnsi="Times New Roman"/>
                <w:sz w:val="20"/>
                <w:szCs w:val="20"/>
                <w:lang w:eastAsia="pt-BR"/>
              </w:rPr>
            </w:pPr>
            <w:r w:rsidRPr="00836D33">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836D33" w:rsidRDefault="00A45A92" w:rsidP="004E4C8C">
            <w:pPr>
              <w:rPr>
                <w:rFonts w:ascii="Times New Roman" w:hAnsi="Times New Roman"/>
                <w:sz w:val="20"/>
                <w:szCs w:val="20"/>
              </w:rPr>
            </w:pPr>
            <w:r w:rsidRPr="00836D33">
              <w:rPr>
                <w:rFonts w:ascii="Times New Roman" w:hAnsi="Times New Roman"/>
                <w:sz w:val="20"/>
                <w:szCs w:val="20"/>
              </w:rPr>
              <w:t>Estabelece encaminhamentos acerca do entendimento de autoconstrução para fins de fiscalização do CAU/RS.</w:t>
            </w:r>
          </w:p>
        </w:tc>
      </w:tr>
    </w:tbl>
    <w:p w:rsidR="00124A49" w:rsidRPr="00836D33"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0"/>
          <w:szCs w:val="20"/>
          <w:lang w:eastAsia="pt-BR"/>
        </w:rPr>
      </w:pPr>
      <w:r w:rsidRPr="00836D33">
        <w:rPr>
          <w:rFonts w:ascii="Times New Roman" w:hAnsi="Times New Roman"/>
          <w:sz w:val="20"/>
          <w:szCs w:val="20"/>
          <w:lang w:eastAsia="pt-BR"/>
        </w:rPr>
        <w:t>DELIBERAÇÃO PLENÁRIA DPO</w:t>
      </w:r>
      <w:r w:rsidR="00E56097" w:rsidRPr="00836D33">
        <w:rPr>
          <w:rFonts w:ascii="Times New Roman" w:hAnsi="Times New Roman"/>
          <w:sz w:val="20"/>
          <w:szCs w:val="20"/>
          <w:lang w:eastAsia="pt-BR"/>
        </w:rPr>
        <w:t>/RS</w:t>
      </w:r>
      <w:r w:rsidRPr="00836D33">
        <w:rPr>
          <w:rFonts w:ascii="Times New Roman" w:hAnsi="Times New Roman"/>
          <w:sz w:val="20"/>
          <w:szCs w:val="20"/>
          <w:lang w:eastAsia="pt-BR"/>
        </w:rPr>
        <w:t xml:space="preserve"> Nº </w:t>
      </w:r>
      <w:r w:rsidR="0086519B" w:rsidRPr="00836D33">
        <w:rPr>
          <w:rFonts w:ascii="Times New Roman" w:hAnsi="Times New Roman"/>
          <w:sz w:val="20"/>
          <w:szCs w:val="20"/>
          <w:lang w:eastAsia="pt-BR"/>
        </w:rPr>
        <w:t>102</w:t>
      </w:r>
      <w:r w:rsidR="00102830" w:rsidRPr="00836D33">
        <w:rPr>
          <w:rFonts w:ascii="Times New Roman" w:hAnsi="Times New Roman"/>
          <w:sz w:val="20"/>
          <w:szCs w:val="20"/>
          <w:lang w:eastAsia="pt-BR"/>
        </w:rPr>
        <w:t>8</w:t>
      </w:r>
      <w:r w:rsidRPr="00836D33">
        <w:rPr>
          <w:rFonts w:ascii="Times New Roman" w:hAnsi="Times New Roman"/>
          <w:sz w:val="20"/>
          <w:szCs w:val="20"/>
          <w:lang w:eastAsia="pt-BR"/>
        </w:rPr>
        <w:t>/</w:t>
      </w:r>
      <w:r w:rsidR="008A59CF" w:rsidRPr="00836D33">
        <w:rPr>
          <w:rFonts w:ascii="Times New Roman" w:hAnsi="Times New Roman"/>
          <w:sz w:val="20"/>
          <w:szCs w:val="20"/>
          <w:lang w:eastAsia="pt-BR"/>
        </w:rPr>
        <w:t>2019</w:t>
      </w:r>
    </w:p>
    <w:p w:rsidR="00B54B66" w:rsidRPr="00836D33" w:rsidRDefault="00B54B66" w:rsidP="00D53DA9">
      <w:pPr>
        <w:tabs>
          <w:tab w:val="left" w:pos="1418"/>
        </w:tabs>
        <w:ind w:left="4820"/>
        <w:jc w:val="both"/>
        <w:rPr>
          <w:rFonts w:ascii="Times New Roman" w:hAnsi="Times New Roman"/>
          <w:sz w:val="20"/>
          <w:szCs w:val="20"/>
        </w:rPr>
      </w:pPr>
    </w:p>
    <w:p w:rsidR="00D53DA9" w:rsidRPr="00836D33" w:rsidRDefault="00102830" w:rsidP="00D53DA9">
      <w:pPr>
        <w:tabs>
          <w:tab w:val="left" w:pos="1418"/>
        </w:tabs>
        <w:ind w:left="4820"/>
        <w:jc w:val="both"/>
        <w:rPr>
          <w:rFonts w:ascii="Times New Roman" w:hAnsi="Times New Roman"/>
          <w:sz w:val="20"/>
          <w:szCs w:val="20"/>
        </w:rPr>
      </w:pPr>
      <w:r w:rsidRPr="00836D33">
        <w:rPr>
          <w:rFonts w:ascii="Times New Roman" w:hAnsi="Times New Roman"/>
          <w:sz w:val="20"/>
          <w:szCs w:val="20"/>
        </w:rPr>
        <w:t>Estabelece encaminhamentos acerca do entendimento de autoconstrução para fins de fiscalização do CAU/RS</w:t>
      </w:r>
      <w:r w:rsidR="00D53DA9" w:rsidRPr="00836D33">
        <w:rPr>
          <w:rFonts w:ascii="Times New Roman" w:hAnsi="Times New Roman"/>
          <w:sz w:val="20"/>
          <w:szCs w:val="20"/>
        </w:rPr>
        <w:t>.</w:t>
      </w:r>
    </w:p>
    <w:p w:rsidR="009F76ED" w:rsidRPr="00836D33" w:rsidRDefault="009F76ED" w:rsidP="00767157">
      <w:pPr>
        <w:ind w:firstLine="1701"/>
        <w:jc w:val="both"/>
        <w:rPr>
          <w:rFonts w:ascii="Times New Roman" w:hAnsi="Times New Roman"/>
          <w:sz w:val="20"/>
          <w:szCs w:val="20"/>
          <w:lang w:eastAsia="pt-BR"/>
        </w:rPr>
      </w:pPr>
      <w:bookmarkStart w:id="0" w:name="_GoBack"/>
      <w:bookmarkEnd w:id="0"/>
    </w:p>
    <w:p w:rsidR="00D53DA9" w:rsidRPr="00836D33" w:rsidRDefault="00D53DA9" w:rsidP="00D53DA9">
      <w:pPr>
        <w:tabs>
          <w:tab w:val="left" w:pos="1418"/>
        </w:tabs>
        <w:jc w:val="both"/>
        <w:rPr>
          <w:rFonts w:ascii="Times New Roman" w:hAnsi="Times New Roman"/>
          <w:sz w:val="20"/>
          <w:szCs w:val="20"/>
        </w:rPr>
      </w:pPr>
      <w:r w:rsidRPr="00836D33">
        <w:rPr>
          <w:rFonts w:ascii="Times New Roman" w:hAnsi="Times New Roman"/>
          <w:sz w:val="20"/>
          <w:szCs w:val="20"/>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59CF" w:rsidRPr="00836D33">
        <w:rPr>
          <w:rFonts w:ascii="Times New Roman" w:hAnsi="Times New Roman"/>
          <w:sz w:val="20"/>
          <w:szCs w:val="20"/>
        </w:rPr>
        <w:t>15 de fevereiro de 2019</w:t>
      </w:r>
      <w:r w:rsidRPr="00836D33">
        <w:rPr>
          <w:rFonts w:ascii="Times New Roman" w:hAnsi="Times New Roman"/>
          <w:sz w:val="20"/>
          <w:szCs w:val="20"/>
        </w:rPr>
        <w:t xml:space="preserve">; </w:t>
      </w:r>
    </w:p>
    <w:p w:rsidR="008A7323" w:rsidRPr="00836D33" w:rsidRDefault="008A7323" w:rsidP="008A7323">
      <w:pPr>
        <w:ind w:right="275"/>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art. 5º, inciso XIII, da Constituição Federal, dispõe que “</w:t>
      </w:r>
      <w:r w:rsidRPr="00836D33">
        <w:rPr>
          <w:rFonts w:ascii="Times New Roman" w:hAnsi="Times New Roman"/>
          <w:i/>
          <w:sz w:val="20"/>
          <w:szCs w:val="20"/>
        </w:rPr>
        <w:t>é livre o exercício de qualquer trabalho, ofício ou profissão, atendidas as qualificações profissionais que a lei estabelecer</w:t>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a Constituição Federal, em seu art. 6º, estabeleceu que “</w:t>
      </w:r>
      <w:r w:rsidRPr="00836D33">
        <w:rPr>
          <w:rFonts w:ascii="Times New Roman" w:hAnsi="Times New Roman"/>
          <w:i/>
          <w:sz w:val="20"/>
          <w:szCs w:val="20"/>
        </w:rPr>
        <w:t>são direitos sociais a educação, a saúde, a alimentação, o trabalho, a moradia, o transporte, o lazer, a segurança, a previdência social, a proteção à maternidade e à infância, a assistência aos desamparados, na forma desta Constituição</w:t>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art. 23, inciso IX, da Constituição Federal, institui como de competência comum da União, dos Estados, do Distrito Federal e dos Municípios “</w:t>
      </w:r>
      <w:r w:rsidRPr="00836D33">
        <w:rPr>
          <w:rFonts w:ascii="Times New Roman" w:hAnsi="Times New Roman"/>
          <w:i/>
          <w:sz w:val="20"/>
          <w:szCs w:val="20"/>
        </w:rPr>
        <w:t xml:space="preserve">promover programas de construção de moradias e a melhoria das condições habitacionais e de saneamento </w:t>
      </w:r>
      <w:proofErr w:type="gramStart"/>
      <w:r w:rsidRPr="00836D33">
        <w:rPr>
          <w:rFonts w:ascii="Times New Roman" w:hAnsi="Times New Roman"/>
          <w:i/>
          <w:sz w:val="20"/>
          <w:szCs w:val="20"/>
        </w:rPr>
        <w:t>básico</w:t>
      </w:r>
      <w:r w:rsidRPr="00836D33">
        <w:rPr>
          <w:rFonts w:ascii="Times New Roman" w:hAnsi="Times New Roman"/>
          <w:sz w:val="20"/>
          <w:szCs w:val="20"/>
        </w:rPr>
        <w:t>”;</w:t>
      </w:r>
      <w:proofErr w:type="gramEnd"/>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o disposto no art. 78, do Código Tributário Nacional, que estabelece:</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 xml:space="preserve">“Art. 78. Considera-se poder de polícia atividade da administração pública que, limitando ou disciplinando direito, </w:t>
      </w:r>
      <w:r w:rsidR="009B58CA" w:rsidRPr="00836D33">
        <w:rPr>
          <w:rFonts w:ascii="Times New Roman" w:hAnsi="Times New Roman"/>
          <w:i/>
          <w:sz w:val="20"/>
          <w:szCs w:val="20"/>
        </w:rPr>
        <w:t>interesse</w:t>
      </w:r>
      <w:r w:rsidRPr="00836D33">
        <w:rPr>
          <w:rFonts w:ascii="Times New Roman" w:hAnsi="Times New Roman"/>
          <w:i/>
          <w:sz w:val="20"/>
          <w:szCs w:val="20"/>
        </w:rPr>
        <w:t xml:space="preserve"> ou liberdade, regula a prática de ato ou abstenção de fato, em razão de </w:t>
      </w:r>
      <w:r w:rsidR="009B58CA" w:rsidRPr="00836D33">
        <w:rPr>
          <w:rFonts w:ascii="Times New Roman" w:hAnsi="Times New Roman"/>
          <w:i/>
          <w:sz w:val="20"/>
          <w:szCs w:val="20"/>
        </w:rPr>
        <w:t>interesse</w:t>
      </w:r>
      <w:r w:rsidRPr="00836D33">
        <w:rPr>
          <w:rFonts w:ascii="Times New Roman" w:hAnsi="Times New Roman"/>
          <w:i/>
          <w:sz w:val="20"/>
          <w:szCs w:val="20"/>
        </w:rPr>
        <w:t xml:space="preserve"> público concernente à segurança, à higiene, à ordem, aos costumes, à disciplina da produção e do mercado, ao exercício de atividades econômicas dependentes de concessão ou autorização do Poder Público, à </w:t>
      </w:r>
      <w:r w:rsidR="009B58CA" w:rsidRPr="00836D33">
        <w:rPr>
          <w:rFonts w:ascii="Times New Roman" w:hAnsi="Times New Roman"/>
          <w:i/>
          <w:sz w:val="20"/>
          <w:szCs w:val="20"/>
        </w:rPr>
        <w:t>tranquilidade</w:t>
      </w:r>
      <w:r w:rsidRPr="00836D33">
        <w:rPr>
          <w:rFonts w:ascii="Times New Roman" w:hAnsi="Times New Roman"/>
          <w:i/>
          <w:sz w:val="20"/>
          <w:szCs w:val="20"/>
        </w:rPr>
        <w:t xml:space="preserve"> pública ou ao respeito à propriedade e aos direitos individuais ou coletivos)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Parágrafo único. Considera-se regular o exercício do poder de polícia quando desempenhado pelo órgão competente nos limites da lei aplicável, com observância do processo legal e, tratando-se de atividade que a lei tenha como discricionária, sem abuso ou desvio de poder.”</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o disposto nos artigos 2º e 3º da Lei nº 12.378/2010, os quais determinam as atividades e atribuições do arquiteto e urbanista, bem como os campos de atuação a que estes se aplicam;</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o disposto no art. 7º, da Lei nº 12.378/2010, o qual estabelece que “</w:t>
      </w:r>
      <w:r w:rsidRPr="00836D33">
        <w:rPr>
          <w:rFonts w:ascii="Times New Roman" w:hAnsi="Times New Roman"/>
          <w:i/>
          <w:sz w:val="20"/>
          <w:szCs w:val="20"/>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o disposto no art. 24, § 1º da Lei nº 12.378/2010, o qual estabelece que o Conselho de Arquitetura e Urbanismo (CAU)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836D33" w:rsidRPr="00836D33" w:rsidRDefault="00836D33"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o disposto no art. 34, inciso VIII, da Lei nº 12.378/2010, segundo o qual compete aos CAU/UF fiscalizar o exercício das atividades profissionais da Arquitetura e Urbanismo;</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a Resolução CAU/BR nº 021/2012, a qual “</w:t>
      </w:r>
      <w:r w:rsidRPr="00836D33">
        <w:rPr>
          <w:rFonts w:ascii="Times New Roman" w:hAnsi="Times New Roman"/>
          <w:i/>
          <w:sz w:val="20"/>
          <w:szCs w:val="20"/>
        </w:rPr>
        <w:t>dispõe sobre as atividades e atribuições profissionais do arquiteto e urbanista e dá outras providências</w:t>
      </w:r>
      <w:r w:rsidRPr="00836D33">
        <w:rPr>
          <w:rFonts w:ascii="Times New Roman" w:hAnsi="Times New Roman"/>
          <w:sz w:val="20"/>
          <w:szCs w:val="20"/>
        </w:rPr>
        <w:t>” e a Resolução CAU/BR nº 051/2013, a qual “</w:t>
      </w:r>
      <w:r w:rsidRPr="00836D33">
        <w:rPr>
          <w:rFonts w:ascii="Times New Roman" w:hAnsi="Times New Roman"/>
          <w:i/>
          <w:sz w:val="20"/>
          <w:szCs w:val="20"/>
        </w:rPr>
        <w:t>dispõe sobre as áreas de atuação privativas dos arquitetos e urbanistas e as áreas de atuação compartilhadas com outras profissões regulamentadas, e dá outras providências.</w:t>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a atividade fiscalizatória tem por objeto “</w:t>
      </w:r>
      <w:r w:rsidRPr="00836D33">
        <w:rPr>
          <w:rFonts w:ascii="Times New Roman" w:hAnsi="Times New Roman"/>
          <w:i/>
          <w:sz w:val="20"/>
          <w:szCs w:val="20"/>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836D33">
        <w:rPr>
          <w:rFonts w:ascii="Times New Roman" w:hAnsi="Times New Roman"/>
          <w:sz w:val="20"/>
          <w:szCs w:val="20"/>
        </w:rPr>
        <w:t>” e por objetivo “</w:t>
      </w:r>
      <w:r w:rsidRPr="00836D33">
        <w:rPr>
          <w:rFonts w:ascii="Times New Roman" w:hAnsi="Times New Roman"/>
          <w:i/>
          <w:sz w:val="20"/>
          <w:szCs w:val="20"/>
        </w:rPr>
        <w:t>coibir o exercício ilegal ou irregular da Arquitetura e Urbanismo, em conformidade com a legislação vigente</w:t>
      </w:r>
      <w:r w:rsidRPr="00836D33">
        <w:rPr>
          <w:rFonts w:ascii="Times New Roman" w:hAnsi="Times New Roman"/>
          <w:sz w:val="20"/>
          <w:szCs w:val="20"/>
        </w:rPr>
        <w:t>”, competindo-lhe “</w:t>
      </w:r>
      <w:r w:rsidRPr="00836D33">
        <w:rPr>
          <w:rFonts w:ascii="Times New Roman" w:hAnsi="Times New Roman"/>
          <w:i/>
          <w:sz w:val="20"/>
          <w:szCs w:val="20"/>
        </w:rPr>
        <w:t>verificar, na prestação de serviços de Arquitetura e Urbanismo, a existência do Registro de Responsabilidade Técnica (RRT) correspondente, nos termos do que dispõe Resolução específica do CAU/BR</w:t>
      </w:r>
      <w:r w:rsidRPr="00836D33">
        <w:rPr>
          <w:rFonts w:ascii="Times New Roman" w:hAnsi="Times New Roman"/>
          <w:sz w:val="20"/>
          <w:szCs w:val="20"/>
        </w:rPr>
        <w:t xml:space="preserve">”, conforme dispõem os artigos 4º, 5º e 6º da Resolução </w:t>
      </w:r>
      <w:r w:rsidR="00D446E8" w:rsidRPr="00836D33">
        <w:rPr>
          <w:rFonts w:ascii="Times New Roman" w:hAnsi="Times New Roman"/>
          <w:sz w:val="20"/>
          <w:szCs w:val="20"/>
        </w:rPr>
        <w:t xml:space="preserve">CAU/BR </w:t>
      </w:r>
      <w:r w:rsidRPr="00836D33">
        <w:rPr>
          <w:rFonts w:ascii="Times New Roman" w:hAnsi="Times New Roman"/>
          <w:sz w:val="20"/>
          <w:szCs w:val="20"/>
        </w:rPr>
        <w:t xml:space="preserve">nº </w:t>
      </w:r>
      <w:r w:rsidR="00D446E8" w:rsidRPr="00836D33">
        <w:rPr>
          <w:rFonts w:ascii="Times New Roman" w:hAnsi="Times New Roman"/>
          <w:sz w:val="20"/>
          <w:szCs w:val="20"/>
        </w:rPr>
        <w:t>0</w:t>
      </w:r>
      <w:r w:rsidRPr="00836D33">
        <w:rPr>
          <w:rFonts w:ascii="Times New Roman" w:hAnsi="Times New Roman"/>
          <w:sz w:val="20"/>
          <w:szCs w:val="20"/>
        </w:rPr>
        <w:t>22</w:t>
      </w:r>
      <w:r w:rsidR="00D446E8" w:rsidRPr="00836D33">
        <w:rPr>
          <w:rFonts w:ascii="Times New Roman" w:hAnsi="Times New Roman"/>
          <w:sz w:val="20"/>
          <w:szCs w:val="20"/>
        </w:rPr>
        <w:t>/2012</w:t>
      </w:r>
      <w:r w:rsidRPr="00836D33">
        <w:rPr>
          <w:rFonts w:ascii="Times New Roman" w:hAnsi="Times New Roman"/>
          <w:sz w:val="20"/>
          <w:szCs w:val="20"/>
        </w:rPr>
        <w:t>, respectivamente;</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o disposto no art. 35, inciso VII, da Resolução CAU/BR nº 022/2012, que estabelece:</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35. As infrações ao exercício da profissão de Arquitetura e Urbanismo nos termos definidos nesta Resolução serão punidas com multas, respeitados os seguintes limites: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VII – Exercício ilegal de atividade fiscalizada pelo CAU por pessoa física não habilitada (leigo);</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Infrator: pessoa física;</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Valor da Multa: mínimo de 2 (duas) vezes e máximo de 5 (cinco) vezes o valor vigente da anuidade;</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exercício ilegal da profissão é ato ilícito, configurado no âmbito do direito penal como contravenção, conforme o disposto no art. 47, do Decreto-Lei nº 3.688/1941, que segue:</w:t>
      </w:r>
    </w:p>
    <w:p w:rsidR="009B58CA" w:rsidRPr="00836D33" w:rsidRDefault="009B58CA" w:rsidP="00102830">
      <w:pPr>
        <w:tabs>
          <w:tab w:val="left" w:pos="1418"/>
        </w:tabs>
        <w:jc w:val="both"/>
        <w:rPr>
          <w:rFonts w:ascii="Times New Roman" w:hAnsi="Times New Roman"/>
          <w:sz w:val="20"/>
          <w:szCs w:val="20"/>
        </w:rPr>
      </w:pP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47. Exercer profissão ou atividade econômica ou anunciar que a exerce, sem preencher as condições a que por lei está subordinado o seu exercício:</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Pena – prisão simples, de quinze dias a três meses, ou multa, de quinhentos mil réis a cinco contos de réis.”</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pStyle w:val="PargrafodaLista"/>
        <w:ind w:left="0"/>
        <w:contextualSpacing w:val="0"/>
        <w:jc w:val="both"/>
        <w:rPr>
          <w:rFonts w:ascii="Times New Roman" w:hAnsi="Times New Roman"/>
          <w:sz w:val="20"/>
          <w:szCs w:val="20"/>
        </w:rPr>
      </w:pPr>
      <w:r w:rsidRPr="00836D33">
        <w:rPr>
          <w:rFonts w:ascii="Times New Roman" w:hAnsi="Times New Roman"/>
          <w:sz w:val="20"/>
          <w:szCs w:val="20"/>
        </w:rPr>
        <w:t>Considerando que o exercício ilegal da profissão se caracteriza quando há comercialização de serviços de arquitetura e urbanismo por pessoa física não habilitada (leigo);</w:t>
      </w:r>
    </w:p>
    <w:p w:rsidR="00102830" w:rsidRPr="00836D33" w:rsidRDefault="00102830" w:rsidP="00102830">
      <w:pPr>
        <w:pStyle w:val="PargrafodaLista"/>
        <w:ind w:left="0"/>
        <w:rPr>
          <w:rFonts w:ascii="Times New Roman" w:hAnsi="Times New Roman"/>
          <w:sz w:val="20"/>
          <w:szCs w:val="20"/>
        </w:rPr>
      </w:pPr>
    </w:p>
    <w:p w:rsidR="00102830" w:rsidRPr="00836D33" w:rsidRDefault="00102830" w:rsidP="00D446E8">
      <w:pPr>
        <w:tabs>
          <w:tab w:val="left" w:pos="1418"/>
        </w:tabs>
        <w:jc w:val="both"/>
        <w:rPr>
          <w:rFonts w:ascii="Times New Roman" w:hAnsi="Times New Roman"/>
          <w:sz w:val="20"/>
          <w:szCs w:val="20"/>
        </w:rPr>
      </w:pPr>
      <w:r w:rsidRPr="00836D33">
        <w:rPr>
          <w:rFonts w:ascii="Times New Roman" w:hAnsi="Times New Roman"/>
          <w:sz w:val="20"/>
          <w:szCs w:val="20"/>
        </w:rPr>
        <w:t>Considerando que a Gerência Jurídica do CAU/RS, por meio da Orientação Jurídica nº 003/2018, reviu o posicionamento emanado na Orientação Jurídica nº 002/2014, entendendo ser possível a notificação e autuação do leigo por exercício ilegal d</w:t>
      </w:r>
      <w:r w:rsidR="00D446E8" w:rsidRPr="00836D33">
        <w:rPr>
          <w:rFonts w:ascii="Times New Roman" w:hAnsi="Times New Roman"/>
          <w:sz w:val="20"/>
          <w:szCs w:val="20"/>
        </w:rPr>
        <w:t xml:space="preserve">a profissão, tendo em vista que </w:t>
      </w:r>
      <w:r w:rsidRPr="00836D33">
        <w:rPr>
          <w:rFonts w:ascii="Times New Roman" w:hAnsi="Times New Roman"/>
          <w:i/>
          <w:sz w:val="20"/>
          <w:szCs w:val="20"/>
        </w:rPr>
        <w:t>“... do ponto de vista estritamente jurídico, abstraída qualquer consideração acerca de conveniência e oportunidade, com base nos argumentos emanados no bojo desta Orientação, em razão das funções disciplinar e fiscalizatória do Conselho, tendo em vista que a Lei atribuiu ao CAU/BR a competência para, entre outros, editar as normas e os provimentos que julgar necessários ao cumprimento de sua missão institucional, zelando pela dignidade, independência, prerrogativas e valorização da arquitetura e do urbanismo, e por entender que o art. 2º, caput, da Lei nº 11.000/2004, concede ao Conselho nacional (CAU/BR), no exercício do poder regulamentar, a competência para definir e estipular os tipos infracionais afeitos ao exercício irregular da profissão de arquitetura e urbanismo, uma vez que o legislador atribuiu o status de ilegalidade ao exercício de certas atividades, e estabelecer a aplicação, dentro dos limites da Lei nº 12.378/2010, das sanções cabíveis para prevenir e reprimir as condutas vedadas pela lei...”;</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a posição emanada pela Assessoria Jurídica do CAU/RS, na Orientação Jurídica nº 003/2018, no sentido de que “</w:t>
      </w:r>
      <w:r w:rsidRPr="00836D33">
        <w:rPr>
          <w:rFonts w:ascii="Times New Roman" w:hAnsi="Times New Roman"/>
          <w:i/>
          <w:sz w:val="20"/>
          <w:szCs w:val="20"/>
        </w:rPr>
        <w:t xml:space="preserve">... exerce ilegalmente a profissão de arquiteto e urbanista a pessoa física ou jurídica, </w:t>
      </w:r>
      <w:r w:rsidRPr="00836D33">
        <w:rPr>
          <w:rFonts w:ascii="Times New Roman" w:hAnsi="Times New Roman"/>
          <w:i/>
          <w:sz w:val="20"/>
          <w:szCs w:val="20"/>
        </w:rPr>
        <w:lastRenderedPageBreak/>
        <w:t>sem a devida habilitação profissional (registro no CAU), que realiza atos ou presta serviços privativos da arquitetura e urbanismo ou, ainda, que se apresenta como atuante nesta área</w:t>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a posição emanada pela Assessoria Jurídica do CAU/RS, na Orientação Jurídica</w:t>
      </w:r>
      <w:r w:rsidR="00D446E8" w:rsidRPr="00836D33">
        <w:rPr>
          <w:rFonts w:ascii="Times New Roman" w:hAnsi="Times New Roman"/>
          <w:sz w:val="20"/>
          <w:szCs w:val="20"/>
        </w:rPr>
        <w:t xml:space="preserve"> nº 003/2018, no sentido de que </w:t>
      </w:r>
      <w:r w:rsidRPr="00836D33">
        <w:rPr>
          <w:rFonts w:ascii="Times New Roman" w:hAnsi="Times New Roman"/>
          <w:i/>
          <w:sz w:val="20"/>
          <w:szCs w:val="20"/>
        </w:rPr>
        <w:t>“... a identificação do ato ilícito pressupõe uma ação ou omissão perpetrada pela pessoa (física ou jurídica), contrária aos preceitos, implícitos ou explícitos, previamente definidos na norma impositiva (no caso, a Resolução CAU/BR nº 022/2012), em que se conceituou o tipo infracional, como, por exemplo, “exercício ilegal de atividade fiscalizada pelo CAU por pessoa física não habilitada (leigo)”, previsto no inciso VII, do art. 35, da referida Resolução” e que “... o ilícito consiste, precisamente, na conduta daquele que age voluntariamente (desejando ou aceitando as consequências de sua ação) ou deixa de agir (nos casos em que deveria), infringindo a parte condicional ou a hipótese da norma, ou seja, aquele que, a despeito de não possuir a devida habilitação profissional, exerce ilegalmente atividades da arquitetura e urbanismo”;</w:t>
      </w:r>
    </w:p>
    <w:p w:rsidR="00D446E8" w:rsidRPr="00836D33" w:rsidRDefault="00D446E8" w:rsidP="00102830">
      <w:pPr>
        <w:tabs>
          <w:tab w:val="left" w:pos="1418"/>
        </w:tabs>
        <w:jc w:val="both"/>
        <w:rPr>
          <w:rFonts w:ascii="Times New Roman" w:hAnsi="Times New Roman"/>
          <w:sz w:val="20"/>
          <w:szCs w:val="20"/>
        </w:rPr>
      </w:pPr>
    </w:p>
    <w:p w:rsidR="00102830" w:rsidRPr="00836D33" w:rsidRDefault="00102830" w:rsidP="00D446E8">
      <w:pPr>
        <w:tabs>
          <w:tab w:val="left" w:pos="1418"/>
        </w:tabs>
        <w:jc w:val="both"/>
        <w:rPr>
          <w:rFonts w:ascii="Times New Roman" w:hAnsi="Times New Roman"/>
          <w:sz w:val="20"/>
          <w:szCs w:val="20"/>
        </w:rPr>
      </w:pPr>
      <w:r w:rsidRPr="00836D33">
        <w:rPr>
          <w:rFonts w:ascii="Times New Roman" w:hAnsi="Times New Roman"/>
          <w:sz w:val="20"/>
          <w:szCs w:val="20"/>
        </w:rPr>
        <w:t>Considerando a posição emanada pela Assessoria Jurídica do CAU/RS, na Orientação Jurídica</w:t>
      </w:r>
      <w:r w:rsidR="00D446E8" w:rsidRPr="00836D33">
        <w:rPr>
          <w:rFonts w:ascii="Times New Roman" w:hAnsi="Times New Roman"/>
          <w:sz w:val="20"/>
          <w:szCs w:val="20"/>
        </w:rPr>
        <w:t xml:space="preserve"> nº 003/2018, no sentido de que </w:t>
      </w:r>
      <w:r w:rsidRPr="00836D33">
        <w:rPr>
          <w:rFonts w:ascii="Times New Roman" w:hAnsi="Times New Roman"/>
          <w:i/>
          <w:sz w:val="20"/>
          <w:szCs w:val="20"/>
        </w:rPr>
        <w:t>“... o ilícito apenas gerará responsabilidade, quando restar comprovado o nexo direto entre o sujeito ativo e a violação, ou seja, o ato ou a omissão do infrator só configurará infração ao exercício profissional quando, previsto e reprimido por norma regulamentar própria (elemento legal), tenha sido executado ou em alguns casos, tenha tido começo de execução (elemento material), de forma voluntária, livre e consciente (elemento moral)”;</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D446E8">
      <w:pPr>
        <w:tabs>
          <w:tab w:val="left" w:pos="1418"/>
        </w:tabs>
        <w:jc w:val="both"/>
        <w:rPr>
          <w:rFonts w:ascii="Times New Roman" w:hAnsi="Times New Roman"/>
          <w:sz w:val="20"/>
          <w:szCs w:val="20"/>
        </w:rPr>
      </w:pPr>
      <w:r w:rsidRPr="00836D33">
        <w:rPr>
          <w:rFonts w:ascii="Times New Roman" w:hAnsi="Times New Roman"/>
          <w:sz w:val="20"/>
          <w:szCs w:val="20"/>
        </w:rPr>
        <w:t>Considerando a posição emanada pela Assessoria Jurídica do CAU/RS, na Orientação Jurídica</w:t>
      </w:r>
      <w:r w:rsidR="00D446E8" w:rsidRPr="00836D33">
        <w:rPr>
          <w:rFonts w:ascii="Times New Roman" w:hAnsi="Times New Roman"/>
          <w:sz w:val="20"/>
          <w:szCs w:val="20"/>
        </w:rPr>
        <w:t xml:space="preserve"> nº 003/2018, no sentido de que </w:t>
      </w:r>
      <w:r w:rsidRPr="00836D33">
        <w:rPr>
          <w:rFonts w:ascii="Times New Roman" w:hAnsi="Times New Roman"/>
          <w:i/>
          <w:sz w:val="20"/>
          <w:szCs w:val="20"/>
        </w:rPr>
        <w:t>“... a tipicidade da conduta prevista nesta contravenção, sucintamente, depende da ação (exercer ou anunciar), praticada por qualquer pessoa, de forma dolosa, que consiste na vontade livre e consciente de exercer a atividade ou a profissão fora das condições impostas pela lei. Trata-se, portanto, de infração de mera conduta</w:t>
      </w:r>
      <w:r w:rsidRPr="00836D33">
        <w:rPr>
          <w:rFonts w:ascii="Times New Roman" w:hAnsi="Times New Roman"/>
          <w:i/>
          <w:sz w:val="20"/>
          <w:szCs w:val="20"/>
        </w:rPr>
        <w:footnoteReference w:id="1"/>
      </w:r>
      <w:r w:rsidRPr="00836D33">
        <w:rPr>
          <w:rFonts w:ascii="Times New Roman" w:hAnsi="Times New Roman"/>
          <w:i/>
          <w:sz w:val="20"/>
          <w:szCs w:val="20"/>
        </w:rPr>
        <w:t>, sendo desnecessário o prejuízo a terceiros, pois o simples exercício da atividade já caracteriza a contravenção” e que “... a prática de ato ou atos isolados não configura o exercício de profissão. O verbo exercer significa praticar, executar, realizar ou desempenhar</w:t>
      </w:r>
      <w:r w:rsidRPr="00836D33">
        <w:rPr>
          <w:rFonts w:ascii="Times New Roman" w:hAnsi="Times New Roman"/>
          <w:sz w:val="20"/>
          <w:szCs w:val="20"/>
        </w:rPr>
        <w:footnoteReference w:id="2"/>
      </w:r>
      <w:r w:rsidRPr="00836D33">
        <w:rPr>
          <w:rFonts w:ascii="Times New Roman" w:hAnsi="Times New Roman"/>
          <w:i/>
          <w:sz w:val="20"/>
          <w:szCs w:val="20"/>
        </w:rPr>
        <w:t>, sendo necessário, para a configuração da conduta, que o agente aja com habitualidade, reiteração e repetição, uma vez que profissão é forma de atividade habitual, exercida por alguém, geralmente como modo ou meio de vida”;</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Plenário do CAU/RS, com base na Orientação Jurídica nº 003/2018, por meio da Deliberação Plenária DPL nº 969/2018, decidiu por “</w:t>
      </w:r>
      <w:r w:rsidRPr="00836D33">
        <w:rPr>
          <w:rFonts w:ascii="Times New Roman" w:hAnsi="Times New Roman"/>
          <w:i/>
          <w:sz w:val="20"/>
          <w:szCs w:val="20"/>
        </w:rPr>
        <w:t>revogar os itens 08 e 11do quadro das infrações ao exercício profissional da Deliberação Plenária DPL nº 143/2013, no que diz respeito aos procedimentos relativos às infrações ao art. 7º, da Lei nº 12.378/2010 e ao art. 35, inciso VII, da Resolução CAU/BR nº 022/2012, com o fim de possibilitar à Fiscalização do CAU/RS a notificação e a autuação do leigo ou daquele que exerce ilegalmente a profissão de arquitetura e urbanismo, nas situações em que se averiguar a irregularidade, conforme o caso</w:t>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a autoconstrução, via de regra, não caracteriza o exercício ilegal da profissão, pois normalmente o indivíduo, embora possa exercer atividades que abrangem o desenvolvimento de atribuições próprias da profissão de arquitetura e urbanismo (como “elaboração” de projeto e “direção”, “execução” e “condução” de obra, por exemplo), não tenta se passar por arquiteto e urbanista; mas sim almeja a construção/adequação da residência de sua família, utilizando-se dos conhecimentos próprios e dos meios (materiais, mão de obra etc.) disponíveis, os quais muitas vezes são insuficientes, precários e impróprios, sem envolver remuneração por serviços reconhecidos como de arquitetura e urbanismo;</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Código Penal define as seguintes causas como excludentes de ilicitude:</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23 - Não há crime quando o agente pratica o fato: (Redação dada pela Lei nº 7.209, de 11.7.1984)</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 - em estado de necessidade; (Incluído pela Lei nº 7.209, de 11.7.1984)</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II - em legítima defesa; (Incluído pela Lei nº 7.209, de 11.7.1984)</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III - em estrito cumprimento de dever legal ou no exercício regular de direito. (Incluído pela Lei nº 7.209, de 11.7.1984)</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24 - Considera-se em estado de necessidade quem pratica o fato para salvar de perigo atual, que não provocou por sua vontade, nem podia de outro modo evitar, direito próprio ou alheio, cujo sacrifício, nas circunstâncias, não era razoável exigir-se. (Redação dada pela Lei nº 7.209, de 11.7.1984)</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 1º - Não pode alegar estado de necessidade quem tinha o dever legal de enfrentar o perigo. (Redação dada pela Lei nº 7.209, de 11.7.1984)</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 2º - Embora seja razoável exigir-se o sacrifício do direito ameaçado, a pena poderá ser reduzida de um a dois terços. (Redação dada pela Lei nº 7.209, de 11.7.1984)”</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w:t>
      </w:r>
      <w:r w:rsidRPr="00836D33">
        <w:rPr>
          <w:rFonts w:ascii="Times New Roman" w:hAnsi="Times New Roman"/>
          <w:i/>
          <w:sz w:val="20"/>
          <w:szCs w:val="20"/>
        </w:rPr>
        <w:t>ilicitude é a contrariedade entre o fato típico praticado por alguém e o ordenamento jurídico, capaz de lesionar ou expor a perigo de lesão bens jurídicos penalmente tutelados</w:t>
      </w:r>
      <w:r w:rsidRPr="00836D33">
        <w:rPr>
          <w:rFonts w:ascii="Times New Roman" w:hAnsi="Times New Roman"/>
          <w:sz w:val="20"/>
          <w:szCs w:val="20"/>
        </w:rPr>
        <w:t>”</w:t>
      </w:r>
      <w:r w:rsidRPr="00836D33">
        <w:rPr>
          <w:rStyle w:val="Refdenotaderodap"/>
          <w:rFonts w:ascii="Times New Roman" w:hAnsi="Times New Roman"/>
          <w:sz w:val="20"/>
          <w:szCs w:val="20"/>
        </w:rPr>
        <w:footnoteReference w:id="3"/>
      </w:r>
      <w:r w:rsidRPr="00836D33">
        <w:rPr>
          <w:rFonts w:ascii="Times New Roman" w:hAnsi="Times New Roman"/>
          <w:sz w:val="20"/>
          <w:szCs w:val="20"/>
        </w:rPr>
        <w:t>;</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Decreto nº 6.135/2007, que “</w:t>
      </w:r>
      <w:r w:rsidRPr="00836D33">
        <w:rPr>
          <w:rFonts w:ascii="Times New Roman" w:hAnsi="Times New Roman"/>
          <w:i/>
          <w:sz w:val="20"/>
          <w:szCs w:val="20"/>
        </w:rPr>
        <w:t>dispõe sobre o Cadastro Único para Programas Sociais do Governo Federal e dá outras providências</w:t>
      </w:r>
      <w:r w:rsidRPr="00836D33">
        <w:rPr>
          <w:rFonts w:ascii="Times New Roman" w:hAnsi="Times New Roman"/>
          <w:sz w:val="20"/>
          <w:szCs w:val="20"/>
        </w:rPr>
        <w:t>”, estabelece:</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 xml:space="preserve">“Art. 2º O Cadastro Único para Programas Sociais - </w:t>
      </w:r>
      <w:proofErr w:type="spellStart"/>
      <w:r w:rsidRPr="00836D33">
        <w:rPr>
          <w:rFonts w:ascii="Times New Roman" w:hAnsi="Times New Roman"/>
          <w:i/>
          <w:sz w:val="20"/>
          <w:szCs w:val="20"/>
        </w:rPr>
        <w:t>CadÚnico</w:t>
      </w:r>
      <w:proofErr w:type="spellEnd"/>
      <w:r w:rsidRPr="00836D33">
        <w:rPr>
          <w:rFonts w:ascii="Times New Roman" w:hAnsi="Times New Roman"/>
          <w:i/>
          <w:sz w:val="20"/>
          <w:szCs w:val="20"/>
        </w:rPr>
        <w:t xml:space="preserve"> é instrumento de identificação e caracterização </w:t>
      </w:r>
      <w:proofErr w:type="spellStart"/>
      <w:r w:rsidRPr="00836D33">
        <w:rPr>
          <w:rFonts w:ascii="Times New Roman" w:hAnsi="Times New Roman"/>
          <w:i/>
          <w:sz w:val="20"/>
          <w:szCs w:val="20"/>
        </w:rPr>
        <w:t>sócio-econômica</w:t>
      </w:r>
      <w:proofErr w:type="spellEnd"/>
      <w:r w:rsidRPr="00836D33">
        <w:rPr>
          <w:rFonts w:ascii="Times New Roman" w:hAnsi="Times New Roman"/>
          <w:i/>
          <w:sz w:val="20"/>
          <w:szCs w:val="20"/>
        </w:rPr>
        <w:t xml:space="preserve"> das famílias brasileiras de baixa renda, a ser obrigatoriamente utilizado para seleção de beneficiários e integração de programas sociais do Governo Federal voltados ao atendimento desse público.</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4º Para fins deste Decreto, adotam-se as seguintes definições: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 - família: a unidade nuclear composta por um ou mais indivíduos, eventualmente ampliada por outros indivíduos que contribuam para o rendimento ou tenham suas despesas atendidas por aquela unidade familiar, todos moradores em um mesmo domicílio.</w:t>
      </w:r>
    </w:p>
    <w:p w:rsidR="00102830" w:rsidRPr="00836D33" w:rsidRDefault="00102830" w:rsidP="00102830">
      <w:pPr>
        <w:tabs>
          <w:tab w:val="left" w:pos="1418"/>
        </w:tabs>
        <w:ind w:left="1134"/>
        <w:jc w:val="both"/>
        <w:rPr>
          <w:rFonts w:ascii="Times New Roman" w:hAnsi="Times New Roman"/>
          <w:i/>
          <w:sz w:val="20"/>
          <w:szCs w:val="20"/>
          <w:u w:val="single"/>
        </w:rPr>
      </w:pPr>
      <w:r w:rsidRPr="00836D33">
        <w:rPr>
          <w:rFonts w:ascii="Times New Roman" w:hAnsi="Times New Roman"/>
          <w:i/>
          <w:sz w:val="20"/>
          <w:szCs w:val="20"/>
          <w:u w:val="single"/>
        </w:rPr>
        <w:t>II - família de baixa renda: sem prejuízo do disposto no inciso I:</w:t>
      </w:r>
    </w:p>
    <w:p w:rsidR="00102830" w:rsidRPr="00836D33" w:rsidRDefault="00102830" w:rsidP="00102830">
      <w:pPr>
        <w:tabs>
          <w:tab w:val="left" w:pos="1418"/>
        </w:tabs>
        <w:ind w:left="1134"/>
        <w:jc w:val="both"/>
        <w:rPr>
          <w:rFonts w:ascii="Times New Roman" w:hAnsi="Times New Roman"/>
          <w:i/>
          <w:sz w:val="20"/>
          <w:szCs w:val="20"/>
          <w:u w:val="single"/>
        </w:rPr>
      </w:pPr>
      <w:r w:rsidRPr="00836D33">
        <w:rPr>
          <w:rFonts w:ascii="Times New Roman" w:hAnsi="Times New Roman"/>
          <w:i/>
          <w:sz w:val="20"/>
          <w:szCs w:val="20"/>
          <w:u w:val="single"/>
        </w:rPr>
        <w:t>a) aquela com renda familiar mensal per capita de até meio salário mínimo; ou</w:t>
      </w:r>
    </w:p>
    <w:p w:rsidR="00102830" w:rsidRPr="00836D33" w:rsidRDefault="00102830" w:rsidP="00102830">
      <w:pPr>
        <w:tabs>
          <w:tab w:val="left" w:pos="1418"/>
        </w:tabs>
        <w:ind w:left="1134"/>
        <w:jc w:val="both"/>
        <w:rPr>
          <w:rFonts w:ascii="Times New Roman" w:hAnsi="Times New Roman"/>
          <w:i/>
          <w:sz w:val="20"/>
          <w:szCs w:val="20"/>
          <w:u w:val="single"/>
        </w:rPr>
      </w:pPr>
      <w:r w:rsidRPr="00836D33">
        <w:rPr>
          <w:rFonts w:ascii="Times New Roman" w:hAnsi="Times New Roman"/>
          <w:i/>
          <w:sz w:val="20"/>
          <w:szCs w:val="20"/>
          <w:u w:val="single"/>
        </w:rPr>
        <w:t>b) a que possua renda familiar mensal de até três salários mínimos;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III - domicílio: o local que serve de moradia à família;</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IV - renda familiar mensal: a soma dos rendimentos brutos auferidos por todos os membros da família, não sendo incluídos no cálculo aqueles percebidos dos seguintes programas: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 Programa de Erradicação do Trabalho Infantil;</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b) Programa Agente Jovem de Desenvolvimento Social e Humano;</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c) Programa Bolsa Família e os programas remanescentes nele unificados;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d) Programa Nacional de Inclusão do Jovem - Pró-Jovem;</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e) Auxílio Emergencial Financeiro e outros programas de transferência de renda destinados à população atingida por desastres, residente em Municípios em estado de calamidade pública ou situação de emergência; e</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f) demais programas de transferência condicionada de renda implementados por Estados, Distrito Federal ou Municípios;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V - renda familiar per capita: razão entre a renda familiar mensal e o total de indivíduos na família.”</w:t>
      </w:r>
    </w:p>
    <w:p w:rsidR="00102830" w:rsidRPr="00836D33" w:rsidRDefault="00102830" w:rsidP="00D446E8">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Considerando-se que as famílias de baixa renda sem acesso à moradia e constroem as suas residências sem profissional arquiteto e urbanista o fazem para buscar um direito que, embora, lhes seja garantido pela Constituição, não é prestado pelo Estado;</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a moradia é imprescindível à sobrevivência, de sorte que a autoconstrução, nesse caso, estaria enquadrada no estado de necessidade;</w:t>
      </w:r>
    </w:p>
    <w:p w:rsidR="00D446E8" w:rsidRPr="00836D33" w:rsidRDefault="00D446E8" w:rsidP="00102830">
      <w:pPr>
        <w:tabs>
          <w:tab w:val="left" w:pos="1418"/>
        </w:tabs>
        <w:jc w:val="both"/>
        <w:rPr>
          <w:rFonts w:ascii="Times New Roman" w:hAnsi="Times New Roman"/>
          <w:sz w:val="20"/>
          <w:szCs w:val="20"/>
        </w:rPr>
      </w:pPr>
    </w:p>
    <w:p w:rsidR="00D446E8" w:rsidRPr="00836D33" w:rsidRDefault="00D446E8" w:rsidP="00D446E8">
      <w:pPr>
        <w:autoSpaceDE w:val="0"/>
        <w:autoSpaceDN w:val="0"/>
        <w:jc w:val="both"/>
        <w:rPr>
          <w:rFonts w:ascii="Times New Roman" w:hAnsi="Times New Roman"/>
          <w:sz w:val="20"/>
          <w:szCs w:val="20"/>
        </w:rPr>
      </w:pPr>
      <w:r w:rsidRPr="00836D33">
        <w:rPr>
          <w:rFonts w:ascii="Times New Roman" w:hAnsi="Times New Roman"/>
          <w:sz w:val="20"/>
          <w:szCs w:val="20"/>
        </w:rPr>
        <w:t>Considerando</w:t>
      </w:r>
      <w:r w:rsidR="00394845" w:rsidRPr="00836D33">
        <w:rPr>
          <w:rFonts w:ascii="Times New Roman" w:hAnsi="Times New Roman"/>
          <w:sz w:val="20"/>
          <w:szCs w:val="20"/>
        </w:rPr>
        <w:t xml:space="preserve"> que, por exerce</w:t>
      </w:r>
      <w:r w:rsidR="003E5B7F" w:rsidRPr="00836D33">
        <w:rPr>
          <w:rFonts w:ascii="Times New Roman" w:hAnsi="Times New Roman"/>
          <w:sz w:val="20"/>
          <w:szCs w:val="20"/>
        </w:rPr>
        <w:t>r</w:t>
      </w:r>
      <w:r w:rsidR="00394845" w:rsidRPr="00836D33">
        <w:rPr>
          <w:rFonts w:ascii="Times New Roman" w:hAnsi="Times New Roman"/>
          <w:sz w:val="20"/>
          <w:szCs w:val="20"/>
        </w:rPr>
        <w:t xml:space="preserve"> atividade típica de estado, mediante outorga conferida pela União Federal, por meio da Lei nº 12.378/2010, consistente no poder de polícia fiscalizatório, o CAU/RS não pode agir </w:t>
      </w:r>
      <w:r w:rsidR="00394845" w:rsidRPr="00836D33">
        <w:rPr>
          <w:rFonts w:ascii="Times New Roman" w:hAnsi="Times New Roman"/>
          <w:sz w:val="20"/>
          <w:szCs w:val="20"/>
        </w:rPr>
        <w:lastRenderedPageBreak/>
        <w:t>indiscriminadamente e ignorar o fato de que, por omissão estatal, as famílias de baixa renda</w:t>
      </w:r>
      <w:r w:rsidR="00860AD4" w:rsidRPr="00836D33">
        <w:rPr>
          <w:rFonts w:ascii="Times New Roman" w:hAnsi="Times New Roman"/>
          <w:sz w:val="20"/>
          <w:szCs w:val="20"/>
        </w:rPr>
        <w:t xml:space="preserve"> não possuem alternativa senão a de </w:t>
      </w:r>
      <w:r w:rsidR="00394845" w:rsidRPr="00836D33">
        <w:rPr>
          <w:rFonts w:ascii="Times New Roman" w:hAnsi="Times New Roman"/>
          <w:sz w:val="20"/>
          <w:szCs w:val="20"/>
        </w:rPr>
        <w:t>construir, de forme irregular, suas próprias residências, quando deveriam receber o suporte e a assistência técnica gratuita dos Entes da Federação;</w:t>
      </w:r>
    </w:p>
    <w:p w:rsidR="00394845" w:rsidRPr="00836D33" w:rsidRDefault="00394845" w:rsidP="00D446E8">
      <w:pPr>
        <w:autoSpaceDE w:val="0"/>
        <w:autoSpaceDN w:val="0"/>
        <w:jc w:val="both"/>
        <w:rPr>
          <w:rFonts w:ascii="Times New Roman" w:hAnsi="Times New Roman"/>
          <w:sz w:val="20"/>
          <w:szCs w:val="20"/>
        </w:rPr>
      </w:pPr>
    </w:p>
    <w:p w:rsidR="00394845" w:rsidRPr="00836D33" w:rsidRDefault="00394845" w:rsidP="00D446E8">
      <w:pPr>
        <w:autoSpaceDE w:val="0"/>
        <w:autoSpaceDN w:val="0"/>
        <w:jc w:val="both"/>
        <w:rPr>
          <w:rFonts w:ascii="Times New Roman" w:hAnsi="Times New Roman"/>
          <w:sz w:val="20"/>
          <w:szCs w:val="20"/>
        </w:rPr>
      </w:pPr>
      <w:r w:rsidRPr="00836D33">
        <w:rPr>
          <w:rFonts w:ascii="Times New Roman" w:hAnsi="Times New Roman"/>
          <w:sz w:val="20"/>
          <w:szCs w:val="20"/>
        </w:rPr>
        <w:t>Considerando que uma atuação repressiva perpetrada pelo CAU/RS em sua atividade fiscalizat</w:t>
      </w:r>
      <w:r w:rsidR="00860AD4" w:rsidRPr="00836D33">
        <w:rPr>
          <w:rFonts w:ascii="Times New Roman" w:hAnsi="Times New Roman"/>
          <w:sz w:val="20"/>
          <w:szCs w:val="20"/>
        </w:rPr>
        <w:t>ória se constituiria</w:t>
      </w:r>
      <w:r w:rsidRPr="00836D33">
        <w:rPr>
          <w:rFonts w:ascii="Times New Roman" w:hAnsi="Times New Roman"/>
          <w:sz w:val="20"/>
          <w:szCs w:val="20"/>
        </w:rPr>
        <w:t xml:space="preserve"> em</w:t>
      </w:r>
      <w:r w:rsidR="00860AD4" w:rsidRPr="00836D33">
        <w:rPr>
          <w:rFonts w:ascii="Times New Roman" w:hAnsi="Times New Roman"/>
          <w:sz w:val="20"/>
          <w:szCs w:val="20"/>
        </w:rPr>
        <w:t xml:space="preserve"> injusto</w:t>
      </w:r>
      <w:r w:rsidRPr="00836D33">
        <w:rPr>
          <w:rFonts w:ascii="Times New Roman" w:hAnsi="Times New Roman"/>
          <w:sz w:val="20"/>
          <w:szCs w:val="20"/>
        </w:rPr>
        <w:t xml:space="preserve"> agravamento da situação de vulnerabilidade das famílias que vivem em estado de necessidade</w:t>
      </w:r>
      <w:r w:rsidR="00860AD4" w:rsidRPr="00836D33">
        <w:rPr>
          <w:rFonts w:ascii="Times New Roman" w:hAnsi="Times New Roman"/>
          <w:sz w:val="20"/>
          <w:szCs w:val="20"/>
        </w:rPr>
        <w:t>, uma vez que compete ao poder público garantir a esses cidadãos o direito à moradia;</w:t>
      </w:r>
    </w:p>
    <w:p w:rsidR="00102830" w:rsidRPr="00836D33" w:rsidRDefault="00102830" w:rsidP="00102830">
      <w:pPr>
        <w:tabs>
          <w:tab w:val="left" w:pos="1418"/>
        </w:tabs>
        <w:jc w:val="both"/>
        <w:rPr>
          <w:rFonts w:ascii="Times New Roman" w:hAnsi="Times New Roman"/>
          <w:sz w:val="20"/>
          <w:szCs w:val="20"/>
        </w:rPr>
      </w:pPr>
    </w:p>
    <w:p w:rsidR="00102830" w:rsidRPr="00836D33" w:rsidRDefault="00102830" w:rsidP="00102830">
      <w:pPr>
        <w:tabs>
          <w:tab w:val="left" w:pos="1418"/>
        </w:tabs>
        <w:jc w:val="both"/>
        <w:rPr>
          <w:rFonts w:ascii="Times New Roman" w:hAnsi="Times New Roman"/>
          <w:sz w:val="20"/>
          <w:szCs w:val="20"/>
        </w:rPr>
      </w:pPr>
      <w:r w:rsidRPr="00836D33">
        <w:rPr>
          <w:rFonts w:ascii="Times New Roman" w:hAnsi="Times New Roman"/>
          <w:sz w:val="20"/>
          <w:szCs w:val="20"/>
        </w:rPr>
        <w:t>Considerando que o Estatuto da Cidade, Lei nº 10.257/2001, que “</w:t>
      </w:r>
      <w:r w:rsidRPr="00836D33">
        <w:rPr>
          <w:rFonts w:ascii="Times New Roman" w:hAnsi="Times New Roman"/>
          <w:i/>
          <w:sz w:val="20"/>
          <w:szCs w:val="20"/>
        </w:rPr>
        <w:t xml:space="preserve">regulamenta os </w:t>
      </w:r>
      <w:proofErr w:type="spellStart"/>
      <w:r w:rsidRPr="00836D33">
        <w:rPr>
          <w:rFonts w:ascii="Times New Roman" w:hAnsi="Times New Roman"/>
          <w:i/>
          <w:sz w:val="20"/>
          <w:szCs w:val="20"/>
        </w:rPr>
        <w:t>arts</w:t>
      </w:r>
      <w:proofErr w:type="spellEnd"/>
      <w:r w:rsidRPr="00836D33">
        <w:rPr>
          <w:rFonts w:ascii="Times New Roman" w:hAnsi="Times New Roman"/>
          <w:i/>
          <w:sz w:val="20"/>
          <w:szCs w:val="20"/>
        </w:rPr>
        <w:t>. 182 e 183 da Constituição Federal, estabelece diretrizes gerais da política urbana e dá outras providências</w:t>
      </w:r>
      <w:r w:rsidRPr="00836D33">
        <w:rPr>
          <w:rFonts w:ascii="Times New Roman" w:hAnsi="Times New Roman"/>
          <w:sz w:val="20"/>
          <w:szCs w:val="20"/>
        </w:rPr>
        <w:t>”, definiu que:</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2º A política urbana tem por objetivo ordenar o pleno desenvolvimento das funções sociais da cidade e da propriedade urbana, mediante as seguintes diretrizes gerais: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 xml:space="preserve">I – garantia do direito a cidades sustentáveis, entendido como o direito à terra urbana, à moradia, ao saneamento ambiental, à </w:t>
      </w:r>
      <w:proofErr w:type="spellStart"/>
      <w:r w:rsidRPr="00836D33">
        <w:rPr>
          <w:rFonts w:ascii="Times New Roman" w:hAnsi="Times New Roman"/>
          <w:i/>
          <w:sz w:val="20"/>
          <w:szCs w:val="20"/>
        </w:rPr>
        <w:t>infra-estrutura</w:t>
      </w:r>
      <w:proofErr w:type="spellEnd"/>
      <w:r w:rsidRPr="00836D33">
        <w:rPr>
          <w:rFonts w:ascii="Times New Roman" w:hAnsi="Times New Roman"/>
          <w:i/>
          <w:sz w:val="20"/>
          <w:szCs w:val="20"/>
        </w:rPr>
        <w:t xml:space="preserve"> urbana, ao transporte e aos serviços públicos, ao trabalho e ao lazer, para as presentes e futuras gerações;</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Art. 3º Compete à União, entre outras atribuições de interesse da política urbana:</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w:t>
      </w:r>
    </w:p>
    <w:p w:rsidR="00102830" w:rsidRPr="00836D33" w:rsidRDefault="00102830" w:rsidP="00102830">
      <w:pPr>
        <w:tabs>
          <w:tab w:val="left" w:pos="1418"/>
        </w:tabs>
        <w:ind w:left="1134"/>
        <w:jc w:val="both"/>
        <w:rPr>
          <w:rFonts w:ascii="Times New Roman" w:hAnsi="Times New Roman"/>
          <w:i/>
          <w:sz w:val="20"/>
          <w:szCs w:val="20"/>
        </w:rPr>
      </w:pPr>
      <w:r w:rsidRPr="00836D33">
        <w:rPr>
          <w:rFonts w:ascii="Times New Roman" w:hAnsi="Times New Roman"/>
          <w:i/>
          <w:sz w:val="20"/>
          <w:szCs w:val="20"/>
        </w:rPr>
        <w:t>III - promover, por iniciativa própria e em conjunto com os Estados, o Distrito Federal e os Municípios, programas de construção de moradias e melhoria das condições habitacionais, de saneamento básico, das calçadas, dos passeios públicos, do mobiliário urbano e dos demais espaços de uso público;</w:t>
      </w:r>
    </w:p>
    <w:p w:rsidR="00102830" w:rsidRPr="00836D33" w:rsidRDefault="00102830" w:rsidP="00102830">
      <w:pPr>
        <w:autoSpaceDE w:val="0"/>
        <w:autoSpaceDN w:val="0"/>
        <w:rPr>
          <w:rFonts w:ascii="Times New Roman" w:hAnsi="Times New Roman"/>
          <w:sz w:val="20"/>
          <w:szCs w:val="20"/>
        </w:rPr>
      </w:pPr>
    </w:p>
    <w:p w:rsidR="00102830" w:rsidRPr="00836D33" w:rsidRDefault="00102830" w:rsidP="00102830">
      <w:pPr>
        <w:autoSpaceDE w:val="0"/>
        <w:autoSpaceDN w:val="0"/>
        <w:jc w:val="both"/>
        <w:rPr>
          <w:rFonts w:ascii="Times New Roman" w:hAnsi="Times New Roman"/>
          <w:sz w:val="20"/>
          <w:szCs w:val="20"/>
        </w:rPr>
      </w:pPr>
      <w:r w:rsidRPr="00836D33">
        <w:rPr>
          <w:rFonts w:ascii="Times New Roman" w:hAnsi="Times New Roman"/>
          <w:sz w:val="20"/>
          <w:szCs w:val="20"/>
        </w:rPr>
        <w:t>Considerando o disposto na Lei nº 11.888/2008, que “</w:t>
      </w:r>
      <w:r w:rsidRPr="00836D33">
        <w:rPr>
          <w:rFonts w:ascii="Times New Roman" w:hAnsi="Times New Roman"/>
          <w:i/>
          <w:sz w:val="20"/>
          <w:szCs w:val="20"/>
        </w:rPr>
        <w:t>assegura às famílias de baixa renda assistência técnica pública e gratuita para o projeto e a construção de habitação de interesse social e altera a Lei nº 11.124, de 16 de junho de 2005</w:t>
      </w:r>
      <w:r w:rsidRPr="00836D33">
        <w:rPr>
          <w:rFonts w:ascii="Times New Roman" w:hAnsi="Times New Roman"/>
          <w:sz w:val="20"/>
          <w:szCs w:val="20"/>
        </w:rPr>
        <w:t>”.</w:t>
      </w:r>
    </w:p>
    <w:p w:rsidR="00D446E8" w:rsidRPr="00836D33" w:rsidRDefault="00D446E8" w:rsidP="00102830">
      <w:pPr>
        <w:autoSpaceDE w:val="0"/>
        <w:autoSpaceDN w:val="0"/>
        <w:jc w:val="both"/>
        <w:rPr>
          <w:rFonts w:ascii="Times New Roman" w:hAnsi="Times New Roman"/>
          <w:sz w:val="20"/>
          <w:szCs w:val="20"/>
        </w:rPr>
      </w:pPr>
    </w:p>
    <w:p w:rsidR="00D53DA9" w:rsidRPr="00836D33" w:rsidRDefault="00D53DA9" w:rsidP="00D53DA9">
      <w:pPr>
        <w:jc w:val="both"/>
        <w:rPr>
          <w:rFonts w:ascii="Times New Roman" w:hAnsi="Times New Roman"/>
          <w:b/>
          <w:sz w:val="20"/>
          <w:szCs w:val="20"/>
          <w:lang w:eastAsia="pt-BR"/>
        </w:rPr>
      </w:pPr>
      <w:r w:rsidRPr="00836D33">
        <w:rPr>
          <w:rFonts w:ascii="Times New Roman" w:hAnsi="Times New Roman"/>
          <w:b/>
          <w:sz w:val="20"/>
          <w:szCs w:val="20"/>
          <w:lang w:eastAsia="pt-BR"/>
        </w:rPr>
        <w:t>DELIBEROU</w:t>
      </w:r>
      <w:r w:rsidR="00A00AF9" w:rsidRPr="00836D33">
        <w:rPr>
          <w:rFonts w:ascii="Times New Roman" w:hAnsi="Times New Roman"/>
          <w:b/>
          <w:sz w:val="20"/>
          <w:szCs w:val="20"/>
          <w:lang w:eastAsia="pt-BR"/>
        </w:rPr>
        <w:t xml:space="preserve"> por</w:t>
      </w:r>
      <w:r w:rsidRPr="00836D33">
        <w:rPr>
          <w:rFonts w:ascii="Times New Roman" w:hAnsi="Times New Roman"/>
          <w:b/>
          <w:sz w:val="20"/>
          <w:szCs w:val="20"/>
          <w:lang w:eastAsia="pt-BR"/>
        </w:rPr>
        <w:t>:</w:t>
      </w:r>
    </w:p>
    <w:p w:rsidR="00D53DA9" w:rsidRPr="00836D33" w:rsidRDefault="00D53DA9" w:rsidP="00D53DA9">
      <w:pPr>
        <w:tabs>
          <w:tab w:val="left" w:pos="1418"/>
        </w:tabs>
        <w:jc w:val="both"/>
        <w:rPr>
          <w:rFonts w:ascii="Times New Roman" w:hAnsi="Times New Roman"/>
          <w:sz w:val="20"/>
          <w:szCs w:val="20"/>
          <w:lang w:eastAsia="pt-BR"/>
        </w:rPr>
      </w:pPr>
      <w:r w:rsidRPr="00836D33">
        <w:rPr>
          <w:rFonts w:ascii="Times New Roman" w:hAnsi="Times New Roman"/>
          <w:sz w:val="20"/>
          <w:szCs w:val="20"/>
          <w:lang w:eastAsia="pt-BR"/>
        </w:rPr>
        <w:tab/>
      </w:r>
    </w:p>
    <w:p w:rsidR="00102830" w:rsidRPr="00836D33" w:rsidRDefault="00102830" w:rsidP="00102830">
      <w:pPr>
        <w:pStyle w:val="PargrafodaLista"/>
        <w:numPr>
          <w:ilvl w:val="0"/>
          <w:numId w:val="26"/>
        </w:numPr>
        <w:ind w:left="709" w:hanging="425"/>
        <w:contextualSpacing w:val="0"/>
        <w:jc w:val="both"/>
        <w:rPr>
          <w:rFonts w:ascii="Times New Roman" w:hAnsi="Times New Roman"/>
          <w:sz w:val="20"/>
          <w:szCs w:val="20"/>
        </w:rPr>
      </w:pPr>
      <w:r w:rsidRPr="00836D33">
        <w:rPr>
          <w:rFonts w:ascii="Times New Roman" w:hAnsi="Times New Roman"/>
          <w:sz w:val="20"/>
          <w:szCs w:val="20"/>
        </w:rPr>
        <w:t>Estabelecer o entendimento, para fins de fiscalização do CAU/RS, de que autoconstrução se refere a construção de unidade habitacional de baixo custo executada com a participação de seus próprios usuários (família de baixa renda), os quais não possuem condições financeiras para contratar profissional devidamente habilitado como responsável técnico;</w:t>
      </w:r>
    </w:p>
    <w:p w:rsidR="00102830" w:rsidRPr="00836D33" w:rsidRDefault="00102830" w:rsidP="00102830">
      <w:pPr>
        <w:pStyle w:val="PargrafodaLista"/>
        <w:ind w:left="709"/>
        <w:contextualSpacing w:val="0"/>
        <w:jc w:val="both"/>
        <w:rPr>
          <w:rFonts w:ascii="Times New Roman" w:hAnsi="Times New Roman"/>
          <w:b/>
          <w:sz w:val="20"/>
          <w:szCs w:val="20"/>
        </w:rPr>
      </w:pPr>
    </w:p>
    <w:p w:rsidR="00102830" w:rsidRPr="00836D33" w:rsidRDefault="00D446E8" w:rsidP="00102830">
      <w:pPr>
        <w:pStyle w:val="PargrafodaLista"/>
        <w:numPr>
          <w:ilvl w:val="0"/>
          <w:numId w:val="26"/>
        </w:numPr>
        <w:ind w:left="709" w:hanging="425"/>
        <w:contextualSpacing w:val="0"/>
        <w:jc w:val="both"/>
        <w:rPr>
          <w:rFonts w:ascii="Times New Roman" w:hAnsi="Times New Roman"/>
          <w:b/>
          <w:sz w:val="20"/>
          <w:szCs w:val="20"/>
        </w:rPr>
      </w:pPr>
      <w:r w:rsidRPr="00836D33">
        <w:rPr>
          <w:rFonts w:ascii="Times New Roman" w:hAnsi="Times New Roman"/>
          <w:sz w:val="20"/>
          <w:szCs w:val="20"/>
        </w:rPr>
        <w:t>D</w:t>
      </w:r>
      <w:r w:rsidR="00102830" w:rsidRPr="00836D33">
        <w:rPr>
          <w:rFonts w:ascii="Times New Roman" w:hAnsi="Times New Roman"/>
          <w:sz w:val="20"/>
          <w:szCs w:val="20"/>
        </w:rPr>
        <w:t>efinir que, nos casos de autoconstrução, em que se verificar o estado de necessidade, previsto no art. 23, inciso I, c/c art. 24, ambos do Código Penal, não se consuma a infração por exercício ilegal da profissão, por ausência de ilicitude (antijuridicidade);</w:t>
      </w:r>
    </w:p>
    <w:p w:rsidR="00102830" w:rsidRPr="00836D33" w:rsidRDefault="00102830" w:rsidP="00102830">
      <w:pPr>
        <w:pStyle w:val="PargrafodaLista"/>
        <w:rPr>
          <w:rFonts w:ascii="Times New Roman" w:hAnsi="Times New Roman"/>
          <w:sz w:val="20"/>
          <w:szCs w:val="20"/>
        </w:rPr>
      </w:pPr>
    </w:p>
    <w:p w:rsidR="00D446E8" w:rsidRPr="00836D33" w:rsidRDefault="00D446E8" w:rsidP="00102830">
      <w:pPr>
        <w:pStyle w:val="PargrafodaLista"/>
        <w:numPr>
          <w:ilvl w:val="0"/>
          <w:numId w:val="26"/>
        </w:numPr>
        <w:ind w:left="709" w:hanging="425"/>
        <w:contextualSpacing w:val="0"/>
        <w:jc w:val="both"/>
        <w:rPr>
          <w:rFonts w:ascii="Times New Roman" w:hAnsi="Times New Roman"/>
          <w:b/>
          <w:sz w:val="20"/>
          <w:szCs w:val="20"/>
        </w:rPr>
      </w:pPr>
      <w:r w:rsidRPr="00836D33">
        <w:rPr>
          <w:rFonts w:ascii="Times New Roman" w:hAnsi="Times New Roman"/>
          <w:sz w:val="20"/>
          <w:szCs w:val="20"/>
        </w:rPr>
        <w:t>Encaminhar a presente deliberação à Gerência Jurídica do CAU/RS, para que especifique as medidas que podem ser tomadas perante os municípios que, ao não regulamentar a aplicação da Lei nº 11.888/2008, acabam por restringir a atuação da fiscalização do CAU, em relação aos casos de autoconstrução em que se verifica o estado de necessidade;</w:t>
      </w:r>
    </w:p>
    <w:p w:rsidR="00D446E8" w:rsidRPr="00836D33" w:rsidRDefault="00D446E8" w:rsidP="00D446E8">
      <w:pPr>
        <w:pStyle w:val="PargrafodaLista"/>
        <w:rPr>
          <w:rFonts w:ascii="Times New Roman" w:hAnsi="Times New Roman"/>
          <w:sz w:val="20"/>
          <w:szCs w:val="20"/>
        </w:rPr>
      </w:pPr>
    </w:p>
    <w:p w:rsidR="00102830" w:rsidRPr="00836D33" w:rsidRDefault="00D446E8" w:rsidP="00102830">
      <w:pPr>
        <w:pStyle w:val="PargrafodaLista"/>
        <w:numPr>
          <w:ilvl w:val="0"/>
          <w:numId w:val="26"/>
        </w:numPr>
        <w:ind w:left="709" w:hanging="425"/>
        <w:contextualSpacing w:val="0"/>
        <w:jc w:val="both"/>
        <w:rPr>
          <w:rFonts w:ascii="Times New Roman" w:hAnsi="Times New Roman"/>
          <w:b/>
          <w:sz w:val="20"/>
          <w:szCs w:val="20"/>
        </w:rPr>
      </w:pPr>
      <w:r w:rsidRPr="00836D33">
        <w:rPr>
          <w:rFonts w:ascii="Times New Roman" w:hAnsi="Times New Roman"/>
          <w:sz w:val="20"/>
          <w:szCs w:val="20"/>
        </w:rPr>
        <w:t>E</w:t>
      </w:r>
      <w:r w:rsidR="00102830" w:rsidRPr="00836D33">
        <w:rPr>
          <w:rFonts w:ascii="Times New Roman" w:hAnsi="Times New Roman"/>
          <w:sz w:val="20"/>
          <w:szCs w:val="20"/>
        </w:rPr>
        <w:t>ncaminhar a presente deliberação à Presidência do CAU/BR, com o objetivo de que a CEP-CAU/BR realize análise acerca do entendimento do CAU/RS, com o fim de regulamentar o tema e orientar os CAU/UF, no que tange ao modo de atuação da fiscalização nestes casos;</w:t>
      </w:r>
    </w:p>
    <w:p w:rsidR="00AE5145" w:rsidRPr="00836D33" w:rsidRDefault="00AE5145" w:rsidP="00AE5145">
      <w:pPr>
        <w:pStyle w:val="PargrafodaLista"/>
        <w:tabs>
          <w:tab w:val="left" w:pos="1418"/>
        </w:tabs>
        <w:spacing w:line="276" w:lineRule="auto"/>
        <w:jc w:val="both"/>
        <w:rPr>
          <w:rFonts w:ascii="Times New Roman" w:hAnsi="Times New Roman"/>
          <w:sz w:val="20"/>
          <w:szCs w:val="20"/>
        </w:rPr>
      </w:pPr>
    </w:p>
    <w:p w:rsidR="00D53DA9" w:rsidRPr="00836D33" w:rsidRDefault="00CE543B" w:rsidP="00D53DA9">
      <w:pPr>
        <w:jc w:val="both"/>
        <w:rPr>
          <w:rFonts w:ascii="Times New Roman" w:hAnsi="Times New Roman"/>
          <w:sz w:val="20"/>
          <w:szCs w:val="20"/>
          <w:u w:val="single"/>
          <w:lang w:eastAsia="pt-BR"/>
        </w:rPr>
      </w:pPr>
      <w:r w:rsidRPr="00836D33">
        <w:rPr>
          <w:rFonts w:ascii="Times New Roman" w:hAnsi="Times New Roman"/>
          <w:sz w:val="20"/>
          <w:szCs w:val="20"/>
          <w:lang w:eastAsia="pt-BR"/>
        </w:rPr>
        <w:t xml:space="preserve">  </w:t>
      </w:r>
      <w:r w:rsidR="00D53DA9" w:rsidRPr="00836D33">
        <w:rPr>
          <w:rFonts w:ascii="Times New Roman" w:hAnsi="Times New Roman"/>
          <w:sz w:val="20"/>
          <w:szCs w:val="20"/>
          <w:u w:val="single"/>
          <w:lang w:eastAsia="pt-BR"/>
        </w:rPr>
        <w:t xml:space="preserve">Esta deliberação entra em vigor na data de sua publicação. </w:t>
      </w:r>
    </w:p>
    <w:p w:rsidR="00EC23EA" w:rsidRPr="00836D33" w:rsidRDefault="00EC23EA" w:rsidP="00EC23EA">
      <w:pPr>
        <w:pStyle w:val="PargrafodaLista"/>
        <w:jc w:val="both"/>
        <w:rPr>
          <w:rFonts w:ascii="Times New Roman" w:hAnsi="Times New Roman"/>
          <w:sz w:val="20"/>
          <w:szCs w:val="20"/>
        </w:rPr>
      </w:pPr>
    </w:p>
    <w:p w:rsidR="00483A8E" w:rsidRPr="00836D33" w:rsidRDefault="00870B3E" w:rsidP="00870B3E">
      <w:pPr>
        <w:pStyle w:val="PargrafodaLista"/>
        <w:ind w:left="0" w:right="133"/>
        <w:jc w:val="both"/>
        <w:rPr>
          <w:rFonts w:ascii="Times New Roman" w:hAnsi="Times New Roman"/>
          <w:bCs/>
          <w:sz w:val="20"/>
          <w:szCs w:val="20"/>
          <w:lang w:eastAsia="pt-BR"/>
        </w:rPr>
      </w:pPr>
      <w:r w:rsidRPr="00836D33">
        <w:rPr>
          <w:rFonts w:ascii="Times New Roman" w:hAnsi="Times New Roman"/>
          <w:sz w:val="20"/>
          <w:szCs w:val="20"/>
          <w:lang w:eastAsia="pt-BR"/>
        </w:rPr>
        <w:t xml:space="preserve">Com 15 (quinze) votos favoráveis dos conselheiros Cláudio Fischer, Clóvis Ilgenfritz da Silva, Helenice Macedo Do Couto, </w:t>
      </w:r>
      <w:r w:rsidR="009B58CA" w:rsidRPr="00836D33">
        <w:rPr>
          <w:rFonts w:ascii="Times New Roman" w:hAnsi="Times New Roman"/>
          <w:sz w:val="20"/>
          <w:szCs w:val="20"/>
          <w:lang w:eastAsia="pt-BR"/>
        </w:rPr>
        <w:t>José Arthur Fell,</w:t>
      </w:r>
      <w:r w:rsidRPr="00836D33">
        <w:rPr>
          <w:rFonts w:ascii="Times New Roman" w:hAnsi="Times New Roman"/>
          <w:sz w:val="20"/>
          <w:szCs w:val="20"/>
          <w:lang w:eastAsia="pt-BR"/>
        </w:rPr>
        <w:t xml:space="preserve"> Matias Revello Vazquez, Noé Vega Cotta de Mello, Oritz Adriano Adams de Campos, Paulo Fernando do Amaral Fontana, Paulo Ricardo Bregatto, Emilio Merino Dominguez, Rodrigo Rintzel, Roberto Luiz </w:t>
      </w:r>
      <w:proofErr w:type="spellStart"/>
      <w:r w:rsidRPr="00836D33">
        <w:rPr>
          <w:rFonts w:ascii="Times New Roman" w:hAnsi="Times New Roman"/>
          <w:sz w:val="20"/>
          <w:szCs w:val="20"/>
          <w:lang w:eastAsia="pt-BR"/>
        </w:rPr>
        <w:t>Decó</w:t>
      </w:r>
      <w:proofErr w:type="spellEnd"/>
      <w:r w:rsidRPr="00836D33">
        <w:rPr>
          <w:rFonts w:ascii="Times New Roman" w:hAnsi="Times New Roman"/>
          <w:sz w:val="20"/>
          <w:szCs w:val="20"/>
          <w:lang w:eastAsia="pt-BR"/>
        </w:rPr>
        <w:t xml:space="preserve">, Rodrigo Spinelli, Rui Mineiro e Vinícius Vieira de Souza, </w:t>
      </w:r>
      <w:r w:rsidRPr="00836D33">
        <w:rPr>
          <w:rFonts w:ascii="Times New Roman" w:hAnsi="Times New Roman"/>
          <w:bCs/>
          <w:sz w:val="20"/>
          <w:szCs w:val="20"/>
          <w:lang w:eastAsia="pt-BR"/>
        </w:rPr>
        <w:t>01 (</w:t>
      </w:r>
      <w:r w:rsidR="009B58CA" w:rsidRPr="00836D33">
        <w:rPr>
          <w:rFonts w:ascii="Times New Roman" w:hAnsi="Times New Roman"/>
          <w:bCs/>
          <w:sz w:val="20"/>
          <w:szCs w:val="20"/>
          <w:lang w:eastAsia="pt-BR"/>
        </w:rPr>
        <w:t>um</w:t>
      </w:r>
      <w:r w:rsidRPr="00836D33">
        <w:rPr>
          <w:rFonts w:ascii="Times New Roman" w:hAnsi="Times New Roman"/>
          <w:bCs/>
          <w:sz w:val="20"/>
          <w:szCs w:val="20"/>
          <w:lang w:eastAsia="pt-BR"/>
        </w:rPr>
        <w:t xml:space="preserve">) </w:t>
      </w:r>
      <w:r w:rsidR="009B58CA" w:rsidRPr="00836D33">
        <w:rPr>
          <w:rFonts w:ascii="Times New Roman" w:hAnsi="Times New Roman"/>
          <w:bCs/>
          <w:sz w:val="20"/>
          <w:szCs w:val="20"/>
          <w:lang w:eastAsia="pt-BR"/>
        </w:rPr>
        <w:t xml:space="preserve">voto contrário do conselheiro </w:t>
      </w:r>
      <w:r w:rsidR="009B58CA" w:rsidRPr="00836D33">
        <w:rPr>
          <w:rFonts w:ascii="Times New Roman" w:hAnsi="Times New Roman"/>
          <w:sz w:val="20"/>
          <w:szCs w:val="20"/>
          <w:lang w:eastAsia="pt-BR"/>
        </w:rPr>
        <w:t xml:space="preserve">Manoel Joaquim Tostes </w:t>
      </w:r>
      <w:r w:rsidRPr="00836D33">
        <w:rPr>
          <w:rFonts w:ascii="Times New Roman" w:hAnsi="Times New Roman"/>
          <w:sz w:val="20"/>
          <w:szCs w:val="20"/>
          <w:lang w:eastAsia="pt-BR"/>
        </w:rPr>
        <w:t>e 02 (duas) ausências dos conselheiros Felipe José Trucolo, e Magali Mingotti.</w:t>
      </w:r>
    </w:p>
    <w:p w:rsidR="00870B3E" w:rsidRPr="00836D33" w:rsidRDefault="00870B3E" w:rsidP="00870B3E">
      <w:pPr>
        <w:pStyle w:val="PargrafodaLista"/>
        <w:ind w:left="0" w:right="133"/>
        <w:jc w:val="both"/>
        <w:rPr>
          <w:rFonts w:ascii="Times New Roman" w:hAnsi="Times New Roman"/>
          <w:bCs/>
          <w:sz w:val="20"/>
          <w:szCs w:val="20"/>
          <w:lang w:eastAsia="pt-BR"/>
        </w:rPr>
      </w:pPr>
    </w:p>
    <w:p w:rsidR="00870B3E" w:rsidRPr="00836D33" w:rsidRDefault="00870B3E" w:rsidP="00870B3E">
      <w:pPr>
        <w:pStyle w:val="PargrafodaLista"/>
        <w:ind w:left="0" w:right="133"/>
        <w:jc w:val="both"/>
        <w:rPr>
          <w:rFonts w:ascii="Times New Roman" w:hAnsi="Times New Roman"/>
          <w:sz w:val="20"/>
          <w:szCs w:val="20"/>
        </w:rPr>
      </w:pPr>
    </w:p>
    <w:p w:rsidR="00483A8E" w:rsidRPr="00836D33" w:rsidRDefault="00483A8E" w:rsidP="00483A8E">
      <w:pPr>
        <w:pStyle w:val="PargrafodaLista"/>
        <w:ind w:left="0" w:right="133"/>
        <w:jc w:val="center"/>
        <w:rPr>
          <w:rFonts w:ascii="Times New Roman" w:hAnsi="Times New Roman"/>
          <w:sz w:val="20"/>
          <w:szCs w:val="20"/>
        </w:rPr>
      </w:pPr>
      <w:r w:rsidRPr="00836D33">
        <w:rPr>
          <w:rFonts w:ascii="Times New Roman" w:hAnsi="Times New Roman"/>
          <w:sz w:val="20"/>
          <w:szCs w:val="20"/>
        </w:rPr>
        <w:t xml:space="preserve">Porto Alegre – RS, </w:t>
      </w:r>
      <w:r w:rsidR="00E03E7F" w:rsidRPr="00836D33">
        <w:rPr>
          <w:rFonts w:ascii="Times New Roman" w:hAnsi="Times New Roman"/>
          <w:sz w:val="20"/>
          <w:szCs w:val="20"/>
        </w:rPr>
        <w:t>15</w:t>
      </w:r>
      <w:r w:rsidR="00CE543B" w:rsidRPr="00836D33">
        <w:rPr>
          <w:rFonts w:ascii="Times New Roman" w:hAnsi="Times New Roman"/>
          <w:sz w:val="20"/>
          <w:szCs w:val="20"/>
        </w:rPr>
        <w:t xml:space="preserve"> </w:t>
      </w:r>
      <w:r w:rsidRPr="00836D33">
        <w:rPr>
          <w:rFonts w:ascii="Times New Roman" w:hAnsi="Times New Roman"/>
          <w:sz w:val="20"/>
          <w:szCs w:val="20"/>
        </w:rPr>
        <w:t xml:space="preserve">de </w:t>
      </w:r>
      <w:r w:rsidR="00E03E7F" w:rsidRPr="00836D33">
        <w:rPr>
          <w:rFonts w:ascii="Times New Roman" w:hAnsi="Times New Roman"/>
          <w:sz w:val="20"/>
          <w:szCs w:val="20"/>
        </w:rPr>
        <w:t xml:space="preserve">fevereiro </w:t>
      </w:r>
      <w:r w:rsidRPr="00836D33">
        <w:rPr>
          <w:rFonts w:ascii="Times New Roman" w:hAnsi="Times New Roman"/>
          <w:sz w:val="20"/>
          <w:szCs w:val="20"/>
        </w:rPr>
        <w:t>de 201</w:t>
      </w:r>
      <w:r w:rsidR="00E03E7F" w:rsidRPr="00836D33">
        <w:rPr>
          <w:rFonts w:ascii="Times New Roman" w:hAnsi="Times New Roman"/>
          <w:sz w:val="20"/>
          <w:szCs w:val="20"/>
        </w:rPr>
        <w:t>9</w:t>
      </w:r>
      <w:r w:rsidRPr="00836D33">
        <w:rPr>
          <w:rFonts w:ascii="Times New Roman" w:hAnsi="Times New Roman"/>
          <w:sz w:val="20"/>
          <w:szCs w:val="20"/>
        </w:rPr>
        <w:t>.</w:t>
      </w:r>
    </w:p>
    <w:p w:rsidR="00483A8E" w:rsidRPr="00836D33" w:rsidRDefault="00483A8E" w:rsidP="00483A8E">
      <w:pPr>
        <w:pStyle w:val="PargrafodaLista"/>
        <w:ind w:left="0" w:right="133"/>
        <w:jc w:val="center"/>
        <w:rPr>
          <w:rFonts w:ascii="Times New Roman" w:hAnsi="Times New Roman"/>
          <w:sz w:val="20"/>
          <w:szCs w:val="20"/>
        </w:rPr>
      </w:pPr>
    </w:p>
    <w:p w:rsidR="00483A8E" w:rsidRPr="00836D33" w:rsidRDefault="00483A8E" w:rsidP="00483A8E">
      <w:pPr>
        <w:pStyle w:val="PargrafodaLista"/>
        <w:ind w:left="0" w:right="133"/>
        <w:jc w:val="center"/>
        <w:rPr>
          <w:rFonts w:ascii="Times New Roman" w:hAnsi="Times New Roman"/>
          <w:sz w:val="20"/>
          <w:szCs w:val="20"/>
        </w:rPr>
      </w:pPr>
    </w:p>
    <w:p w:rsidR="00FB4FB0" w:rsidRPr="00836D33" w:rsidRDefault="00FB4FB0" w:rsidP="00483A8E">
      <w:pPr>
        <w:pStyle w:val="PargrafodaLista"/>
        <w:ind w:left="0" w:right="133"/>
        <w:jc w:val="center"/>
        <w:rPr>
          <w:rFonts w:ascii="Times New Roman" w:hAnsi="Times New Roman"/>
          <w:sz w:val="20"/>
          <w:szCs w:val="20"/>
        </w:rPr>
      </w:pPr>
    </w:p>
    <w:p w:rsidR="00483A8E" w:rsidRPr="00836D33" w:rsidRDefault="00483A8E" w:rsidP="00483A8E">
      <w:pPr>
        <w:pStyle w:val="Default"/>
        <w:rPr>
          <w:rFonts w:ascii="Times New Roman" w:hAnsi="Times New Roman" w:cs="Times New Roman"/>
          <w:color w:val="auto"/>
          <w:sz w:val="20"/>
          <w:szCs w:val="20"/>
        </w:rPr>
      </w:pPr>
    </w:p>
    <w:p w:rsidR="00483A8E" w:rsidRPr="00836D33" w:rsidRDefault="00483A8E" w:rsidP="00483A8E">
      <w:pPr>
        <w:tabs>
          <w:tab w:val="left" w:pos="8647"/>
        </w:tabs>
        <w:jc w:val="center"/>
        <w:rPr>
          <w:rFonts w:ascii="Times New Roman" w:hAnsi="Times New Roman"/>
          <w:b/>
          <w:bCs/>
          <w:sz w:val="20"/>
          <w:szCs w:val="20"/>
        </w:rPr>
      </w:pPr>
      <w:r w:rsidRPr="00836D33">
        <w:rPr>
          <w:rFonts w:ascii="Times New Roman" w:hAnsi="Times New Roman"/>
          <w:b/>
          <w:bCs/>
          <w:sz w:val="20"/>
          <w:szCs w:val="20"/>
        </w:rPr>
        <w:t>TIAGO HOLZMANN DA SILVA</w:t>
      </w:r>
    </w:p>
    <w:p w:rsidR="00483A8E" w:rsidRPr="00836D33" w:rsidRDefault="008D03E4" w:rsidP="00483A8E">
      <w:pPr>
        <w:tabs>
          <w:tab w:val="left" w:pos="8647"/>
        </w:tabs>
        <w:jc w:val="center"/>
        <w:rPr>
          <w:rFonts w:ascii="Times New Roman" w:hAnsi="Times New Roman"/>
          <w:bCs/>
          <w:iCs/>
          <w:sz w:val="20"/>
          <w:szCs w:val="20"/>
        </w:rPr>
      </w:pPr>
      <w:sdt>
        <w:sdtPr>
          <w:rPr>
            <w:rFonts w:ascii="Times New Roman" w:hAnsi="Times New Roman"/>
            <w:bCs/>
            <w:iCs/>
            <w:sz w:val="20"/>
            <w:szCs w:val="20"/>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836D33">
            <w:rPr>
              <w:rFonts w:ascii="Times New Roman" w:eastAsiaTheme="minorHAnsi" w:hAnsi="Times New Roman"/>
              <w:bCs/>
              <w:sz w:val="20"/>
              <w:szCs w:val="20"/>
            </w:rPr>
            <w:t>Presidente do CAU/RS</w:t>
          </w:r>
        </w:sdtContent>
      </w:sdt>
    </w:p>
    <w:p w:rsidR="004B33B3" w:rsidRPr="00836D33" w:rsidRDefault="004B33B3">
      <w:pPr>
        <w:spacing w:after="200" w:line="276" w:lineRule="auto"/>
        <w:rPr>
          <w:rFonts w:ascii="Times New Roman" w:hAnsi="Times New Roman"/>
          <w:sz w:val="20"/>
          <w:szCs w:val="20"/>
        </w:rPr>
      </w:pPr>
      <w:r w:rsidRPr="00836D33">
        <w:rPr>
          <w:rFonts w:ascii="Times New Roman" w:hAnsi="Times New Roman"/>
          <w:sz w:val="20"/>
          <w:szCs w:val="20"/>
        </w:rPr>
        <w:br w:type="page"/>
      </w:r>
    </w:p>
    <w:p w:rsidR="00054A80" w:rsidRPr="004B33B3" w:rsidRDefault="00054A80" w:rsidP="00CE543B">
      <w:pPr>
        <w:spacing w:after="200" w:line="276" w:lineRule="auto"/>
        <w:jc w:val="center"/>
        <w:rPr>
          <w:rFonts w:ascii="Times New Roman" w:hAnsi="Times New Roman"/>
          <w:sz w:val="22"/>
          <w:szCs w:val="22"/>
        </w:rPr>
      </w:pPr>
    </w:p>
    <w:p w:rsidR="00CE543B" w:rsidRPr="004B33B3" w:rsidRDefault="00AE5145" w:rsidP="00CE543B">
      <w:pPr>
        <w:spacing w:after="200" w:line="276" w:lineRule="auto"/>
        <w:jc w:val="center"/>
        <w:rPr>
          <w:rFonts w:ascii="Times New Roman" w:hAnsi="Times New Roman"/>
          <w:b/>
          <w:bCs/>
          <w:sz w:val="22"/>
          <w:szCs w:val="22"/>
          <w:lang w:eastAsia="pt-BR"/>
        </w:rPr>
      </w:pPr>
      <w:r w:rsidRPr="004B33B3">
        <w:rPr>
          <w:rFonts w:ascii="Times New Roman" w:hAnsi="Times New Roman"/>
          <w:b/>
          <w:sz w:val="22"/>
          <w:szCs w:val="22"/>
        </w:rPr>
        <w:t>9</w:t>
      </w:r>
      <w:r w:rsidR="00E03E7F" w:rsidRPr="004B33B3">
        <w:rPr>
          <w:rFonts w:ascii="Times New Roman" w:hAnsi="Times New Roman"/>
          <w:b/>
          <w:sz w:val="22"/>
          <w:szCs w:val="22"/>
        </w:rPr>
        <w:t>4</w:t>
      </w:r>
      <w:r w:rsidR="00CE543B" w:rsidRPr="004B33B3">
        <w:rPr>
          <w:rFonts w:ascii="Times New Roman" w:hAnsi="Times New Roman"/>
          <w:b/>
          <w:bCs/>
          <w:sz w:val="22"/>
          <w:szCs w:val="22"/>
          <w:lang w:eastAsia="pt-BR"/>
        </w:rPr>
        <w:t>ª PLENÁRIA ORDINÁRIA DO CAU/RS</w:t>
      </w:r>
    </w:p>
    <w:p w:rsidR="00CE543B" w:rsidRPr="004B33B3" w:rsidRDefault="00CE543B" w:rsidP="00CE543B">
      <w:pPr>
        <w:autoSpaceDE w:val="0"/>
        <w:autoSpaceDN w:val="0"/>
        <w:adjustRightInd w:val="0"/>
        <w:jc w:val="center"/>
        <w:rPr>
          <w:rFonts w:ascii="Times New Roman" w:hAnsi="Times New Roman"/>
          <w:sz w:val="22"/>
          <w:szCs w:val="22"/>
          <w:lang w:eastAsia="pt-BR"/>
        </w:rPr>
      </w:pPr>
    </w:p>
    <w:p w:rsidR="00CE543B" w:rsidRPr="004B33B3" w:rsidRDefault="00CE543B" w:rsidP="00CE543B">
      <w:pPr>
        <w:tabs>
          <w:tab w:val="left" w:pos="1418"/>
        </w:tabs>
        <w:jc w:val="center"/>
        <w:rPr>
          <w:rFonts w:ascii="Times New Roman" w:hAnsi="Times New Roman"/>
          <w:b/>
          <w:bCs/>
          <w:sz w:val="22"/>
          <w:szCs w:val="22"/>
          <w:lang w:eastAsia="pt-BR"/>
        </w:rPr>
      </w:pPr>
      <w:r w:rsidRPr="004B33B3">
        <w:rPr>
          <w:rFonts w:ascii="Times New Roman" w:hAnsi="Times New Roman"/>
          <w:b/>
          <w:bCs/>
          <w:sz w:val="22"/>
          <w:szCs w:val="22"/>
          <w:lang w:eastAsia="pt-BR"/>
        </w:rPr>
        <w:t xml:space="preserve">Folha de Votação </w:t>
      </w:r>
    </w:p>
    <w:p w:rsidR="00CE543B" w:rsidRPr="004B33B3"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B33B3" w:rsidRPr="004B33B3"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tabs>
                <w:tab w:val="left" w:pos="1418"/>
              </w:tabs>
              <w:spacing w:line="276" w:lineRule="auto"/>
              <w:jc w:val="center"/>
              <w:rPr>
                <w:rFonts w:ascii="Times New Roman" w:hAnsi="Times New Roman"/>
                <w:b/>
                <w:sz w:val="22"/>
                <w:szCs w:val="22"/>
              </w:rPr>
            </w:pPr>
            <w:r w:rsidRPr="004B33B3">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tabs>
                <w:tab w:val="left" w:pos="1418"/>
              </w:tabs>
              <w:spacing w:line="276" w:lineRule="auto"/>
              <w:jc w:val="center"/>
              <w:rPr>
                <w:rFonts w:ascii="Times New Roman" w:hAnsi="Times New Roman"/>
                <w:b/>
                <w:sz w:val="22"/>
                <w:szCs w:val="22"/>
              </w:rPr>
            </w:pPr>
            <w:r w:rsidRPr="004B33B3">
              <w:rPr>
                <w:rFonts w:ascii="Times New Roman" w:hAnsi="Times New Roman"/>
                <w:b/>
                <w:sz w:val="22"/>
                <w:szCs w:val="22"/>
              </w:rPr>
              <w:t>Votação</w:t>
            </w:r>
          </w:p>
        </w:tc>
      </w:tr>
      <w:tr w:rsidR="004B33B3" w:rsidRPr="004B33B3"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tabs>
                <w:tab w:val="left" w:pos="1418"/>
              </w:tabs>
              <w:spacing w:line="276" w:lineRule="auto"/>
              <w:jc w:val="center"/>
              <w:rPr>
                <w:rFonts w:ascii="Times New Roman" w:hAnsi="Times New Roman"/>
                <w:b/>
                <w:sz w:val="22"/>
                <w:szCs w:val="22"/>
              </w:rPr>
            </w:pPr>
            <w:r w:rsidRPr="004B33B3">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tabs>
                <w:tab w:val="left" w:pos="1418"/>
              </w:tabs>
              <w:spacing w:line="276" w:lineRule="auto"/>
              <w:jc w:val="center"/>
              <w:rPr>
                <w:rFonts w:ascii="Times New Roman" w:hAnsi="Times New Roman"/>
                <w:b/>
                <w:sz w:val="22"/>
                <w:szCs w:val="22"/>
              </w:rPr>
            </w:pPr>
            <w:r w:rsidRPr="004B33B3">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tabs>
                <w:tab w:val="left" w:pos="1418"/>
              </w:tabs>
              <w:spacing w:line="276" w:lineRule="auto"/>
              <w:jc w:val="center"/>
              <w:rPr>
                <w:rFonts w:ascii="Times New Roman" w:hAnsi="Times New Roman"/>
                <w:b/>
                <w:sz w:val="22"/>
                <w:szCs w:val="22"/>
              </w:rPr>
            </w:pPr>
            <w:r w:rsidRPr="004B33B3">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4B33B3" w:rsidRDefault="00CE543B" w:rsidP="00784FCA">
            <w:pPr>
              <w:tabs>
                <w:tab w:val="left" w:pos="1418"/>
              </w:tabs>
              <w:spacing w:line="276" w:lineRule="auto"/>
              <w:jc w:val="center"/>
              <w:rPr>
                <w:rFonts w:ascii="Times New Roman" w:hAnsi="Times New Roman"/>
                <w:b/>
                <w:sz w:val="22"/>
                <w:szCs w:val="22"/>
              </w:rPr>
            </w:pPr>
            <w:r w:rsidRPr="004B33B3">
              <w:rPr>
                <w:rFonts w:ascii="Times New Roman" w:hAnsi="Times New Roman"/>
                <w:b/>
                <w:sz w:val="22"/>
                <w:szCs w:val="22"/>
              </w:rPr>
              <w:t>Ausência</w:t>
            </w: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 xml:space="preserve">Clóvis </w:t>
            </w:r>
            <w:proofErr w:type="spellStart"/>
            <w:r w:rsidRPr="004B33B3">
              <w:rPr>
                <w:rFonts w:ascii="Times New Roman" w:hAnsi="Times New Roman"/>
                <w:sz w:val="22"/>
                <w:szCs w:val="22"/>
              </w:rPr>
              <w:t>Ilgenfritz</w:t>
            </w:r>
            <w:proofErr w:type="spellEnd"/>
            <w:r w:rsidRPr="004B33B3">
              <w:rPr>
                <w:rFonts w:ascii="Times New Roman" w:hAnsi="Times New Roman"/>
                <w:sz w:val="22"/>
                <w:szCs w:val="22"/>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E40AA8"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E40AA8"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 xml:space="preserve">Roberto Luiz </w:t>
            </w:r>
            <w:proofErr w:type="spellStart"/>
            <w:r w:rsidRPr="004B33B3">
              <w:rPr>
                <w:rFonts w:ascii="Times New Roman" w:hAnsi="Times New Roman"/>
                <w:sz w:val="22"/>
                <w:szCs w:val="22"/>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r w:rsidR="004B33B3" w:rsidRPr="004B33B3"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254FA4" w:rsidRPr="004B33B3" w:rsidRDefault="00254FA4" w:rsidP="00254FA4">
            <w:pPr>
              <w:rPr>
                <w:rFonts w:ascii="Times New Roman" w:hAnsi="Times New Roman"/>
                <w:sz w:val="22"/>
                <w:szCs w:val="22"/>
              </w:rPr>
            </w:pPr>
            <w:r w:rsidRPr="004B33B3">
              <w:rPr>
                <w:rFonts w:ascii="Times New Roman" w:hAnsi="Times New Roman"/>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r w:rsidRPr="004B33B3">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54FA4" w:rsidRPr="004B33B3" w:rsidRDefault="00254FA4" w:rsidP="00254FA4">
            <w:pPr>
              <w:tabs>
                <w:tab w:val="left" w:pos="1418"/>
              </w:tabs>
              <w:spacing w:line="276" w:lineRule="auto"/>
              <w:jc w:val="center"/>
              <w:rPr>
                <w:rFonts w:ascii="Times New Roman" w:hAnsi="Times New Roman"/>
                <w:sz w:val="22"/>
                <w:szCs w:val="22"/>
              </w:rPr>
            </w:pPr>
          </w:p>
        </w:tc>
      </w:tr>
    </w:tbl>
    <w:p w:rsidR="00CE543B" w:rsidRPr="004B33B3"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4B33B3" w:rsidRPr="004B33B3" w:rsidTr="00784FCA">
        <w:trPr>
          <w:trHeight w:val="257"/>
        </w:trPr>
        <w:tc>
          <w:tcPr>
            <w:tcW w:w="9060" w:type="dxa"/>
            <w:gridSpan w:val="2"/>
            <w:shd w:val="clear" w:color="auto" w:fill="D9D9D9"/>
          </w:tcPr>
          <w:p w:rsidR="00CE543B" w:rsidRPr="004B33B3" w:rsidRDefault="00CE543B" w:rsidP="00784FCA">
            <w:pPr>
              <w:tabs>
                <w:tab w:val="left" w:pos="1418"/>
              </w:tabs>
              <w:spacing w:before="240" w:line="480" w:lineRule="auto"/>
              <w:jc w:val="both"/>
              <w:rPr>
                <w:rFonts w:ascii="Times New Roman" w:hAnsi="Times New Roman"/>
                <w:b/>
                <w:sz w:val="20"/>
                <w:szCs w:val="22"/>
              </w:rPr>
            </w:pPr>
            <w:r w:rsidRPr="004B33B3">
              <w:rPr>
                <w:rFonts w:ascii="Times New Roman" w:hAnsi="Times New Roman"/>
                <w:b/>
                <w:sz w:val="20"/>
                <w:szCs w:val="22"/>
              </w:rPr>
              <w:t xml:space="preserve">Histórico da votação: </w:t>
            </w:r>
          </w:p>
        </w:tc>
      </w:tr>
      <w:tr w:rsidR="004B33B3" w:rsidRPr="004B33B3" w:rsidTr="00784FCA">
        <w:trPr>
          <w:trHeight w:val="257"/>
        </w:trPr>
        <w:tc>
          <w:tcPr>
            <w:tcW w:w="9060" w:type="dxa"/>
            <w:gridSpan w:val="2"/>
            <w:shd w:val="clear" w:color="auto" w:fill="D9D9D9"/>
          </w:tcPr>
          <w:p w:rsidR="00CE543B" w:rsidRPr="004B33B3" w:rsidRDefault="00AE5145" w:rsidP="00E03E7F">
            <w:pPr>
              <w:tabs>
                <w:tab w:val="left" w:pos="1418"/>
              </w:tabs>
              <w:spacing w:line="480" w:lineRule="auto"/>
              <w:jc w:val="both"/>
              <w:rPr>
                <w:rFonts w:ascii="Times New Roman" w:hAnsi="Times New Roman"/>
                <w:sz w:val="20"/>
                <w:szCs w:val="22"/>
              </w:rPr>
            </w:pPr>
            <w:r w:rsidRPr="004B33B3">
              <w:rPr>
                <w:rFonts w:ascii="Times New Roman" w:hAnsi="Times New Roman"/>
                <w:b/>
                <w:sz w:val="20"/>
                <w:szCs w:val="22"/>
              </w:rPr>
              <w:t>Reunião Plenária Ordinária nº 9</w:t>
            </w:r>
            <w:r w:rsidR="00E03E7F" w:rsidRPr="004B33B3">
              <w:rPr>
                <w:rFonts w:ascii="Times New Roman" w:hAnsi="Times New Roman"/>
                <w:b/>
                <w:sz w:val="20"/>
                <w:szCs w:val="22"/>
              </w:rPr>
              <w:t>4</w:t>
            </w:r>
          </w:p>
        </w:tc>
      </w:tr>
      <w:tr w:rsidR="004B33B3" w:rsidRPr="004B33B3" w:rsidTr="00784FCA">
        <w:trPr>
          <w:trHeight w:val="257"/>
        </w:trPr>
        <w:tc>
          <w:tcPr>
            <w:tcW w:w="9060" w:type="dxa"/>
            <w:gridSpan w:val="2"/>
            <w:shd w:val="clear" w:color="auto" w:fill="D9D9D9"/>
          </w:tcPr>
          <w:p w:rsidR="00CE543B" w:rsidRPr="004B33B3" w:rsidRDefault="00CE543B" w:rsidP="00784FCA">
            <w:pPr>
              <w:tabs>
                <w:tab w:val="left" w:pos="1418"/>
              </w:tabs>
              <w:spacing w:line="480" w:lineRule="auto"/>
              <w:jc w:val="both"/>
              <w:rPr>
                <w:rFonts w:ascii="Times New Roman" w:hAnsi="Times New Roman"/>
                <w:sz w:val="20"/>
                <w:szCs w:val="22"/>
              </w:rPr>
            </w:pPr>
            <w:r w:rsidRPr="004B33B3">
              <w:rPr>
                <w:rFonts w:ascii="Times New Roman" w:hAnsi="Times New Roman"/>
                <w:b/>
                <w:sz w:val="20"/>
                <w:szCs w:val="22"/>
              </w:rPr>
              <w:t xml:space="preserve">Data: </w:t>
            </w:r>
            <w:r w:rsidR="00E03E7F" w:rsidRPr="004B33B3">
              <w:rPr>
                <w:rFonts w:ascii="Times New Roman" w:hAnsi="Times New Roman"/>
                <w:sz w:val="20"/>
                <w:szCs w:val="22"/>
              </w:rPr>
              <w:t>15/02/2019</w:t>
            </w:r>
          </w:p>
          <w:p w:rsidR="00CE543B" w:rsidRPr="004B33B3" w:rsidRDefault="00CE543B" w:rsidP="00A45A92">
            <w:pPr>
              <w:jc w:val="both"/>
              <w:rPr>
                <w:rFonts w:ascii="Times New Roman" w:hAnsi="Times New Roman"/>
                <w:sz w:val="20"/>
                <w:szCs w:val="22"/>
              </w:rPr>
            </w:pPr>
            <w:r w:rsidRPr="004B33B3">
              <w:rPr>
                <w:rFonts w:ascii="Times New Roman" w:hAnsi="Times New Roman"/>
                <w:b/>
                <w:sz w:val="20"/>
                <w:szCs w:val="22"/>
              </w:rPr>
              <w:t xml:space="preserve">Matéria em votação: </w:t>
            </w:r>
            <w:r w:rsidRPr="004B33B3">
              <w:rPr>
                <w:rFonts w:ascii="Times New Roman" w:hAnsi="Times New Roman"/>
                <w:sz w:val="20"/>
                <w:szCs w:val="22"/>
              </w:rPr>
              <w:t>DPO</w:t>
            </w:r>
            <w:r w:rsidR="00254FA4" w:rsidRPr="004B33B3">
              <w:rPr>
                <w:rFonts w:ascii="Times New Roman" w:hAnsi="Times New Roman"/>
                <w:sz w:val="20"/>
                <w:szCs w:val="22"/>
              </w:rPr>
              <w:t>-RS</w:t>
            </w:r>
            <w:r w:rsidRPr="004B33B3">
              <w:rPr>
                <w:rFonts w:ascii="Times New Roman" w:hAnsi="Times New Roman"/>
                <w:sz w:val="20"/>
                <w:szCs w:val="22"/>
              </w:rPr>
              <w:t xml:space="preserve"> </w:t>
            </w:r>
            <w:r w:rsidR="0086519B" w:rsidRPr="004B33B3">
              <w:rPr>
                <w:rFonts w:ascii="Times New Roman" w:hAnsi="Times New Roman"/>
                <w:sz w:val="20"/>
                <w:szCs w:val="22"/>
              </w:rPr>
              <w:t>102</w:t>
            </w:r>
            <w:r w:rsidR="00E40AA8" w:rsidRPr="004B33B3">
              <w:rPr>
                <w:rFonts w:ascii="Times New Roman" w:hAnsi="Times New Roman"/>
                <w:sz w:val="20"/>
                <w:szCs w:val="22"/>
              </w:rPr>
              <w:t>8</w:t>
            </w:r>
            <w:r w:rsidRPr="004B33B3">
              <w:rPr>
                <w:rFonts w:ascii="Times New Roman" w:hAnsi="Times New Roman"/>
                <w:sz w:val="20"/>
                <w:szCs w:val="22"/>
              </w:rPr>
              <w:t>/201</w:t>
            </w:r>
            <w:r w:rsidR="00E03E7F" w:rsidRPr="004B33B3">
              <w:rPr>
                <w:rFonts w:ascii="Times New Roman" w:hAnsi="Times New Roman"/>
                <w:sz w:val="20"/>
                <w:szCs w:val="22"/>
              </w:rPr>
              <w:t xml:space="preserve">9 </w:t>
            </w:r>
            <w:r w:rsidRPr="004B33B3">
              <w:rPr>
                <w:rFonts w:ascii="Times New Roman" w:hAnsi="Times New Roman"/>
                <w:sz w:val="20"/>
                <w:szCs w:val="22"/>
              </w:rPr>
              <w:t xml:space="preserve">– </w:t>
            </w:r>
            <w:r w:rsidR="00A45A92" w:rsidRPr="004B33B3">
              <w:rPr>
                <w:rFonts w:ascii="Times New Roman" w:hAnsi="Times New Roman"/>
                <w:sz w:val="20"/>
                <w:szCs w:val="22"/>
              </w:rPr>
              <w:t>Estabelece encaminhamentos acerca do entendimento de autoconstrução para fins de fiscalização do CAU/RS.</w:t>
            </w:r>
          </w:p>
          <w:p w:rsidR="00CE543B" w:rsidRPr="004B33B3" w:rsidRDefault="00CE543B" w:rsidP="00784FCA">
            <w:pPr>
              <w:tabs>
                <w:tab w:val="left" w:pos="1252"/>
              </w:tabs>
              <w:rPr>
                <w:rFonts w:ascii="Times New Roman" w:hAnsi="Times New Roman"/>
                <w:sz w:val="20"/>
                <w:szCs w:val="22"/>
              </w:rPr>
            </w:pPr>
            <w:r w:rsidRPr="004B33B3">
              <w:rPr>
                <w:rFonts w:ascii="Times New Roman" w:hAnsi="Times New Roman"/>
                <w:sz w:val="20"/>
                <w:szCs w:val="22"/>
              </w:rPr>
              <w:tab/>
            </w:r>
          </w:p>
        </w:tc>
      </w:tr>
      <w:tr w:rsidR="004B33B3" w:rsidRPr="004B33B3" w:rsidTr="00784FCA">
        <w:trPr>
          <w:trHeight w:val="277"/>
        </w:trPr>
        <w:tc>
          <w:tcPr>
            <w:tcW w:w="9060" w:type="dxa"/>
            <w:gridSpan w:val="2"/>
            <w:shd w:val="clear" w:color="auto" w:fill="D9D9D9"/>
          </w:tcPr>
          <w:p w:rsidR="00CE543B" w:rsidRPr="004B33B3" w:rsidRDefault="00CE543B" w:rsidP="00254FA4">
            <w:pPr>
              <w:tabs>
                <w:tab w:val="left" w:pos="1418"/>
              </w:tabs>
              <w:spacing w:line="360" w:lineRule="auto"/>
              <w:jc w:val="both"/>
              <w:rPr>
                <w:rFonts w:ascii="Times New Roman" w:hAnsi="Times New Roman"/>
                <w:sz w:val="20"/>
                <w:szCs w:val="22"/>
              </w:rPr>
            </w:pPr>
            <w:r w:rsidRPr="004B33B3">
              <w:rPr>
                <w:rFonts w:ascii="Times New Roman" w:hAnsi="Times New Roman"/>
                <w:b/>
                <w:sz w:val="20"/>
                <w:szCs w:val="22"/>
              </w:rPr>
              <w:t xml:space="preserve">Resultado da votação: Sim </w:t>
            </w:r>
            <w:r w:rsidRPr="004B33B3">
              <w:rPr>
                <w:rFonts w:ascii="Times New Roman" w:hAnsi="Times New Roman"/>
                <w:sz w:val="20"/>
                <w:szCs w:val="22"/>
              </w:rPr>
              <w:t>(</w:t>
            </w:r>
            <w:r w:rsidR="00254FA4" w:rsidRPr="004B33B3">
              <w:rPr>
                <w:rFonts w:ascii="Times New Roman" w:hAnsi="Times New Roman"/>
                <w:sz w:val="20"/>
                <w:szCs w:val="22"/>
              </w:rPr>
              <w:t>15</w:t>
            </w:r>
            <w:r w:rsidRPr="004B33B3">
              <w:rPr>
                <w:rFonts w:ascii="Times New Roman" w:hAnsi="Times New Roman"/>
                <w:sz w:val="20"/>
                <w:szCs w:val="22"/>
              </w:rPr>
              <w:t xml:space="preserve">) </w:t>
            </w:r>
            <w:r w:rsidRPr="004B33B3">
              <w:rPr>
                <w:rFonts w:ascii="Times New Roman" w:hAnsi="Times New Roman"/>
                <w:b/>
                <w:sz w:val="20"/>
                <w:szCs w:val="22"/>
              </w:rPr>
              <w:t xml:space="preserve">Não </w:t>
            </w:r>
            <w:r w:rsidRPr="004B33B3">
              <w:rPr>
                <w:rFonts w:ascii="Times New Roman" w:hAnsi="Times New Roman"/>
                <w:sz w:val="20"/>
                <w:szCs w:val="22"/>
              </w:rPr>
              <w:t xml:space="preserve">() </w:t>
            </w:r>
            <w:r w:rsidRPr="004B33B3">
              <w:rPr>
                <w:rFonts w:ascii="Times New Roman" w:hAnsi="Times New Roman"/>
                <w:b/>
                <w:sz w:val="20"/>
                <w:szCs w:val="22"/>
              </w:rPr>
              <w:t xml:space="preserve">Abstenções </w:t>
            </w:r>
            <w:r w:rsidRPr="004B33B3">
              <w:rPr>
                <w:rFonts w:ascii="Times New Roman" w:hAnsi="Times New Roman"/>
                <w:sz w:val="20"/>
                <w:szCs w:val="22"/>
              </w:rPr>
              <w:t>(</w:t>
            </w:r>
            <w:r w:rsidR="00254FA4" w:rsidRPr="004B33B3">
              <w:rPr>
                <w:rFonts w:ascii="Times New Roman" w:hAnsi="Times New Roman"/>
                <w:sz w:val="20"/>
                <w:szCs w:val="22"/>
              </w:rPr>
              <w:t>01</w:t>
            </w:r>
            <w:r w:rsidRPr="004B33B3">
              <w:rPr>
                <w:rFonts w:ascii="Times New Roman" w:hAnsi="Times New Roman"/>
                <w:sz w:val="20"/>
                <w:szCs w:val="22"/>
              </w:rPr>
              <w:t xml:space="preserve">) </w:t>
            </w:r>
            <w:r w:rsidRPr="004B33B3">
              <w:rPr>
                <w:rFonts w:ascii="Times New Roman" w:hAnsi="Times New Roman"/>
                <w:b/>
                <w:sz w:val="20"/>
                <w:szCs w:val="22"/>
              </w:rPr>
              <w:t xml:space="preserve">Ausências </w:t>
            </w:r>
            <w:r w:rsidRPr="004B33B3">
              <w:rPr>
                <w:rFonts w:ascii="Times New Roman" w:hAnsi="Times New Roman"/>
                <w:sz w:val="20"/>
                <w:szCs w:val="22"/>
              </w:rPr>
              <w:t>(</w:t>
            </w:r>
            <w:r w:rsidR="00254FA4" w:rsidRPr="004B33B3">
              <w:rPr>
                <w:rFonts w:ascii="Times New Roman" w:hAnsi="Times New Roman"/>
                <w:sz w:val="20"/>
                <w:szCs w:val="22"/>
              </w:rPr>
              <w:t>02</w:t>
            </w:r>
            <w:r w:rsidRPr="004B33B3">
              <w:rPr>
                <w:rFonts w:ascii="Times New Roman" w:hAnsi="Times New Roman"/>
                <w:sz w:val="20"/>
                <w:szCs w:val="22"/>
              </w:rPr>
              <w:t xml:space="preserve">) </w:t>
            </w:r>
            <w:r w:rsidRPr="004B33B3">
              <w:rPr>
                <w:rFonts w:ascii="Times New Roman" w:hAnsi="Times New Roman"/>
                <w:b/>
                <w:sz w:val="20"/>
                <w:szCs w:val="22"/>
              </w:rPr>
              <w:t xml:space="preserve">Total </w:t>
            </w:r>
            <w:r w:rsidRPr="004B33B3">
              <w:rPr>
                <w:rFonts w:ascii="Times New Roman" w:hAnsi="Times New Roman"/>
                <w:sz w:val="20"/>
                <w:szCs w:val="22"/>
              </w:rPr>
              <w:t>(</w:t>
            </w:r>
            <w:r w:rsidR="00294C0C" w:rsidRPr="004B33B3">
              <w:rPr>
                <w:rFonts w:ascii="Times New Roman" w:hAnsi="Times New Roman"/>
                <w:sz w:val="20"/>
                <w:szCs w:val="22"/>
              </w:rPr>
              <w:t>18</w:t>
            </w:r>
            <w:r w:rsidRPr="004B33B3">
              <w:rPr>
                <w:rFonts w:ascii="Times New Roman" w:hAnsi="Times New Roman"/>
                <w:sz w:val="20"/>
                <w:szCs w:val="22"/>
              </w:rPr>
              <w:t>)</w:t>
            </w:r>
          </w:p>
        </w:tc>
      </w:tr>
      <w:tr w:rsidR="004B33B3" w:rsidRPr="004B33B3" w:rsidTr="00784FCA">
        <w:trPr>
          <w:trHeight w:val="257"/>
        </w:trPr>
        <w:tc>
          <w:tcPr>
            <w:tcW w:w="9060" w:type="dxa"/>
            <w:gridSpan w:val="2"/>
            <w:shd w:val="clear" w:color="auto" w:fill="D9D9D9"/>
          </w:tcPr>
          <w:p w:rsidR="00CE543B" w:rsidRPr="004B33B3" w:rsidRDefault="00CE543B" w:rsidP="00784FCA">
            <w:pPr>
              <w:tabs>
                <w:tab w:val="left" w:pos="1418"/>
              </w:tabs>
              <w:spacing w:line="360" w:lineRule="auto"/>
              <w:jc w:val="both"/>
              <w:rPr>
                <w:rFonts w:ascii="Times New Roman" w:hAnsi="Times New Roman"/>
                <w:sz w:val="20"/>
                <w:szCs w:val="22"/>
              </w:rPr>
            </w:pPr>
            <w:r w:rsidRPr="004B33B3">
              <w:rPr>
                <w:rFonts w:ascii="Times New Roman" w:hAnsi="Times New Roman"/>
                <w:b/>
                <w:sz w:val="20"/>
                <w:szCs w:val="22"/>
              </w:rPr>
              <w:t xml:space="preserve">Ocorrências: </w:t>
            </w:r>
            <w:r w:rsidRPr="004B33B3">
              <w:rPr>
                <w:rFonts w:ascii="Times New Roman" w:hAnsi="Times New Roman"/>
                <w:sz w:val="20"/>
                <w:szCs w:val="22"/>
              </w:rPr>
              <w:t>Não houve.</w:t>
            </w:r>
          </w:p>
        </w:tc>
      </w:tr>
      <w:tr w:rsidR="004B33B3" w:rsidRPr="004B33B3" w:rsidTr="00784FCA">
        <w:trPr>
          <w:trHeight w:val="257"/>
        </w:trPr>
        <w:tc>
          <w:tcPr>
            <w:tcW w:w="4530" w:type="dxa"/>
            <w:shd w:val="clear" w:color="auto" w:fill="D9D9D9"/>
          </w:tcPr>
          <w:p w:rsidR="00CE543B" w:rsidRPr="004B33B3" w:rsidRDefault="00CE543B" w:rsidP="00784FCA">
            <w:pPr>
              <w:tabs>
                <w:tab w:val="left" w:pos="1418"/>
              </w:tabs>
              <w:spacing w:line="360" w:lineRule="auto"/>
              <w:rPr>
                <w:rFonts w:ascii="Times New Roman" w:hAnsi="Times New Roman"/>
                <w:sz w:val="20"/>
                <w:szCs w:val="22"/>
              </w:rPr>
            </w:pPr>
            <w:r w:rsidRPr="004B33B3">
              <w:rPr>
                <w:rFonts w:ascii="Times New Roman" w:hAnsi="Times New Roman"/>
                <w:b/>
                <w:sz w:val="20"/>
                <w:szCs w:val="22"/>
              </w:rPr>
              <w:t xml:space="preserve">Secretário da Reunião: </w:t>
            </w:r>
            <w:r w:rsidRPr="004B33B3">
              <w:rPr>
                <w:rFonts w:ascii="Times New Roman" w:hAnsi="Times New Roman"/>
                <w:sz w:val="20"/>
                <w:szCs w:val="22"/>
              </w:rPr>
              <w:t>Josiane Cristina Bernardi</w:t>
            </w:r>
          </w:p>
        </w:tc>
        <w:tc>
          <w:tcPr>
            <w:tcW w:w="4530" w:type="dxa"/>
            <w:shd w:val="clear" w:color="auto" w:fill="D9D9D9"/>
          </w:tcPr>
          <w:p w:rsidR="00CE543B" w:rsidRPr="004B33B3" w:rsidRDefault="00CE543B" w:rsidP="00784FCA">
            <w:pPr>
              <w:tabs>
                <w:tab w:val="left" w:pos="1418"/>
              </w:tabs>
              <w:spacing w:line="360" w:lineRule="auto"/>
              <w:rPr>
                <w:rFonts w:ascii="Times New Roman" w:hAnsi="Times New Roman"/>
                <w:sz w:val="20"/>
                <w:szCs w:val="22"/>
              </w:rPr>
            </w:pPr>
            <w:r w:rsidRPr="004B33B3">
              <w:rPr>
                <w:rFonts w:ascii="Times New Roman" w:hAnsi="Times New Roman"/>
                <w:b/>
                <w:sz w:val="20"/>
                <w:szCs w:val="22"/>
              </w:rPr>
              <w:t xml:space="preserve">Presidente da Reunião: </w:t>
            </w:r>
            <w:r w:rsidRPr="004B33B3">
              <w:rPr>
                <w:rFonts w:ascii="Times New Roman" w:hAnsi="Times New Roman"/>
                <w:sz w:val="20"/>
                <w:szCs w:val="22"/>
                <w:lang w:eastAsia="pt-BR"/>
              </w:rPr>
              <w:t>Tiago Holzmann da Silva</w:t>
            </w:r>
          </w:p>
        </w:tc>
      </w:tr>
    </w:tbl>
    <w:p w:rsidR="00CE543B" w:rsidRPr="004B33B3" w:rsidRDefault="00CE543B" w:rsidP="00CE543B">
      <w:pPr>
        <w:ind w:right="842"/>
        <w:jc w:val="both"/>
        <w:rPr>
          <w:rFonts w:ascii="Times New Roman" w:hAnsi="Times New Roman"/>
          <w:sz w:val="22"/>
          <w:szCs w:val="22"/>
        </w:rPr>
      </w:pPr>
    </w:p>
    <w:p w:rsidR="00CE543B" w:rsidRPr="004B33B3" w:rsidRDefault="00CE543B" w:rsidP="00CE543B">
      <w:pPr>
        <w:jc w:val="both"/>
        <w:rPr>
          <w:rFonts w:ascii="Times New Roman" w:hAnsi="Times New Roman"/>
          <w:sz w:val="22"/>
          <w:szCs w:val="22"/>
        </w:rPr>
      </w:pPr>
    </w:p>
    <w:p w:rsidR="00D213CD" w:rsidRPr="004B33B3" w:rsidRDefault="00D213CD" w:rsidP="00CE543B">
      <w:pPr>
        <w:tabs>
          <w:tab w:val="left" w:pos="2694"/>
        </w:tabs>
        <w:spacing w:after="200" w:line="276" w:lineRule="auto"/>
        <w:jc w:val="center"/>
        <w:rPr>
          <w:rFonts w:ascii="Times New Roman" w:hAnsi="Times New Roman"/>
          <w:sz w:val="22"/>
          <w:szCs w:val="22"/>
        </w:rPr>
      </w:pPr>
    </w:p>
    <w:sectPr w:rsidR="00D213CD" w:rsidRPr="004B33B3" w:rsidSect="00E40AA8">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D03E4">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D03E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 w:id="1">
    <w:p w:rsidR="00102830" w:rsidRPr="005B271B" w:rsidRDefault="00102830" w:rsidP="00102830">
      <w:pPr>
        <w:pStyle w:val="Textodenotaderodap"/>
        <w:jc w:val="both"/>
        <w:rPr>
          <w:rFonts w:ascii="Times New Roman" w:hAnsi="Times New Roman"/>
          <w:sz w:val="18"/>
        </w:rPr>
      </w:pPr>
      <w:r w:rsidRPr="005B271B">
        <w:rPr>
          <w:rStyle w:val="Refdenotaderodap"/>
          <w:rFonts w:ascii="Times New Roman" w:hAnsi="Times New Roman"/>
          <w:sz w:val="18"/>
        </w:rPr>
        <w:footnoteRef/>
      </w:r>
      <w:r w:rsidRPr="005B271B">
        <w:rPr>
          <w:rFonts w:ascii="Times New Roman" w:hAnsi="Times New Roman"/>
          <w:sz w:val="18"/>
        </w:rPr>
        <w:t xml:space="preserve"> DELMANTO, Celso. </w:t>
      </w:r>
      <w:r w:rsidRPr="005B271B">
        <w:rPr>
          <w:rFonts w:ascii="Times New Roman" w:hAnsi="Times New Roman"/>
          <w:sz w:val="18"/>
          <w:u w:val="single"/>
        </w:rPr>
        <w:t>Código Penal Comentado</w:t>
      </w:r>
      <w:r w:rsidRPr="005B271B">
        <w:rPr>
          <w:rFonts w:ascii="Times New Roman" w:hAnsi="Times New Roman"/>
          <w:sz w:val="18"/>
        </w:rPr>
        <w:t xml:space="preserve">. 7. ed. atual. e </w:t>
      </w:r>
      <w:proofErr w:type="spellStart"/>
      <w:r w:rsidRPr="005B271B">
        <w:rPr>
          <w:rFonts w:ascii="Times New Roman" w:hAnsi="Times New Roman"/>
          <w:sz w:val="18"/>
        </w:rPr>
        <w:t>ampl</w:t>
      </w:r>
      <w:proofErr w:type="spellEnd"/>
      <w:r w:rsidRPr="005B271B">
        <w:rPr>
          <w:rFonts w:ascii="Times New Roman" w:hAnsi="Times New Roman"/>
          <w:sz w:val="18"/>
        </w:rPr>
        <w:t>. – Rio de janeiro: Renovar, 2007. Página 65: “</w:t>
      </w:r>
      <w:r w:rsidRPr="005B271B">
        <w:rPr>
          <w:rFonts w:ascii="Times New Roman" w:hAnsi="Times New Roman"/>
          <w:i/>
          <w:sz w:val="18"/>
        </w:rPr>
        <w:t>(...) 2) Crimes de mera conduta (ou de simples atividade). Os crimes de mera conduta são aqueles em que a lei só descreve a conduta do agente, não aludindo a qualquer resultado, de modo que se consumam com o mero comportamento. (...)</w:t>
      </w:r>
      <w:r w:rsidRPr="005B271B">
        <w:rPr>
          <w:rFonts w:ascii="Times New Roman" w:hAnsi="Times New Roman"/>
          <w:sz w:val="18"/>
        </w:rPr>
        <w:t>”.</w:t>
      </w:r>
    </w:p>
  </w:footnote>
  <w:footnote w:id="2">
    <w:p w:rsidR="00102830" w:rsidRPr="005B271B" w:rsidRDefault="00102830" w:rsidP="00102830">
      <w:pPr>
        <w:pStyle w:val="Textodenotaderodap"/>
        <w:jc w:val="both"/>
        <w:rPr>
          <w:rFonts w:ascii="Times New Roman" w:hAnsi="Times New Roman"/>
          <w:sz w:val="18"/>
        </w:rPr>
      </w:pPr>
      <w:r w:rsidRPr="005B271B">
        <w:rPr>
          <w:rStyle w:val="Refdenotaderodap"/>
          <w:rFonts w:ascii="Times New Roman" w:hAnsi="Times New Roman"/>
          <w:sz w:val="18"/>
        </w:rPr>
        <w:footnoteRef/>
      </w:r>
      <w:r w:rsidRPr="005B271B">
        <w:rPr>
          <w:rFonts w:ascii="Times New Roman" w:hAnsi="Times New Roman"/>
          <w:sz w:val="18"/>
        </w:rPr>
        <w:t xml:space="preserve"> </w:t>
      </w:r>
      <w:r w:rsidRPr="005B271B">
        <w:rPr>
          <w:rFonts w:ascii="Times New Roman" w:hAnsi="Times New Roman"/>
          <w:sz w:val="18"/>
          <w:u w:val="single"/>
        </w:rPr>
        <w:t>Dicionário Houaiss: sinônimos e antônimos</w:t>
      </w:r>
      <w:r w:rsidRPr="005B271B">
        <w:rPr>
          <w:rFonts w:ascii="Times New Roman" w:hAnsi="Times New Roman"/>
          <w:sz w:val="18"/>
        </w:rPr>
        <w:t xml:space="preserve">. Instituto Antônio Houaiss; diretor de projeto Mauro de Salles Villar. 2 ed. – São Paulo: </w:t>
      </w:r>
      <w:proofErr w:type="spellStart"/>
      <w:r w:rsidRPr="005B271B">
        <w:rPr>
          <w:rFonts w:ascii="Times New Roman" w:hAnsi="Times New Roman"/>
          <w:sz w:val="18"/>
        </w:rPr>
        <w:t>Publifolha</w:t>
      </w:r>
      <w:proofErr w:type="spellEnd"/>
      <w:r w:rsidRPr="005B271B">
        <w:rPr>
          <w:rFonts w:ascii="Times New Roman" w:hAnsi="Times New Roman"/>
          <w:sz w:val="18"/>
        </w:rPr>
        <w:t>, 2008. Página 386.</w:t>
      </w:r>
    </w:p>
  </w:footnote>
  <w:footnote w:id="3">
    <w:p w:rsidR="00102830" w:rsidRPr="005B271B" w:rsidRDefault="00102830" w:rsidP="00102830">
      <w:pPr>
        <w:pStyle w:val="Textodenotaderodap"/>
        <w:jc w:val="both"/>
        <w:rPr>
          <w:rFonts w:ascii="Times New Roman" w:hAnsi="Times New Roman"/>
          <w:sz w:val="18"/>
        </w:rPr>
      </w:pPr>
      <w:r w:rsidRPr="005B271B">
        <w:rPr>
          <w:rStyle w:val="Refdenotaderodap"/>
          <w:rFonts w:ascii="Times New Roman" w:hAnsi="Times New Roman"/>
          <w:sz w:val="18"/>
        </w:rPr>
        <w:footnoteRef/>
      </w:r>
      <w:r w:rsidRPr="005B271B">
        <w:rPr>
          <w:rFonts w:ascii="Times New Roman" w:hAnsi="Times New Roman"/>
          <w:sz w:val="18"/>
        </w:rPr>
        <w:t xml:space="preserve"> MASSON, Cleber Rogério. Direito penal esquematizado – parte geral – vol. 1. 3ª ed. rev., atual. e </w:t>
      </w:r>
      <w:proofErr w:type="spellStart"/>
      <w:r w:rsidRPr="005B271B">
        <w:rPr>
          <w:rFonts w:ascii="Times New Roman" w:hAnsi="Times New Roman"/>
          <w:sz w:val="18"/>
        </w:rPr>
        <w:t>ampl</w:t>
      </w:r>
      <w:proofErr w:type="spellEnd"/>
      <w:r w:rsidRPr="005B271B">
        <w:rPr>
          <w:rFonts w:ascii="Times New Roman" w:hAnsi="Times New Roman"/>
          <w:sz w:val="18"/>
        </w:rPr>
        <w:t>. Rio de Janeiro: Forense; São Paulo: Método, 2010. Página 349.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1F5ED7"/>
    <w:multiLevelType w:val="hybridMultilevel"/>
    <w:tmpl w:val="C93A6EC6"/>
    <w:lvl w:ilvl="0" w:tplc="A40C10A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765AE8"/>
    <w:multiLevelType w:val="multilevel"/>
    <w:tmpl w:val="509004E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C0290D"/>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3D577FED"/>
    <w:multiLevelType w:val="hybridMultilevel"/>
    <w:tmpl w:val="E3E088E0"/>
    <w:lvl w:ilvl="0" w:tplc="F30E12C8">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3DCB49FC"/>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C21DA1"/>
    <w:multiLevelType w:val="hybridMultilevel"/>
    <w:tmpl w:val="42D65C80"/>
    <w:lvl w:ilvl="0" w:tplc="676287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844516"/>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E3D33FA"/>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F33DC7"/>
    <w:multiLevelType w:val="hybridMultilevel"/>
    <w:tmpl w:val="531CB12E"/>
    <w:lvl w:ilvl="0" w:tplc="A40C10A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8A018A6"/>
    <w:multiLevelType w:val="hybridMultilevel"/>
    <w:tmpl w:val="614AE768"/>
    <w:lvl w:ilvl="0" w:tplc="1A14E804">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99052FF"/>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2"/>
  </w:num>
  <w:num w:numId="3">
    <w:abstractNumId w:val="15"/>
  </w:num>
  <w:num w:numId="4">
    <w:abstractNumId w:val="10"/>
  </w:num>
  <w:num w:numId="5">
    <w:abstractNumId w:val="17"/>
  </w:num>
  <w:num w:numId="6">
    <w:abstractNumId w:val="27"/>
  </w:num>
  <w:num w:numId="7">
    <w:abstractNumId w:val="25"/>
  </w:num>
  <w:num w:numId="8">
    <w:abstractNumId w:val="1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1"/>
  </w:num>
  <w:num w:numId="13">
    <w:abstractNumId w:val="8"/>
  </w:num>
  <w:num w:numId="14">
    <w:abstractNumId w:val="21"/>
  </w:num>
  <w:num w:numId="15">
    <w:abstractNumId w:val="1"/>
  </w:num>
  <w:num w:numId="16">
    <w:abstractNumId w:val="4"/>
  </w:num>
  <w:num w:numId="17">
    <w:abstractNumId w:val="23"/>
  </w:num>
  <w:num w:numId="18">
    <w:abstractNumId w:val="16"/>
  </w:num>
  <w:num w:numId="19">
    <w:abstractNumId w:val="13"/>
  </w:num>
  <w:num w:numId="20">
    <w:abstractNumId w:val="26"/>
  </w:num>
  <w:num w:numId="21">
    <w:abstractNumId w:val="9"/>
  </w:num>
  <w:num w:numId="22">
    <w:abstractNumId w:val="20"/>
  </w:num>
  <w:num w:numId="23">
    <w:abstractNumId w:val="2"/>
  </w:num>
  <w:num w:numId="24">
    <w:abstractNumId w:val="5"/>
  </w:num>
  <w:num w:numId="25">
    <w:abstractNumId w:val="12"/>
  </w:num>
  <w:num w:numId="26">
    <w:abstractNumId w:val="7"/>
  </w:num>
  <w:num w:numId="27">
    <w:abstractNumId w:val="19"/>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2830"/>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4FA4"/>
    <w:rsid w:val="0025716D"/>
    <w:rsid w:val="00264ED8"/>
    <w:rsid w:val="00280F33"/>
    <w:rsid w:val="00285A83"/>
    <w:rsid w:val="00294C0C"/>
    <w:rsid w:val="00295FD5"/>
    <w:rsid w:val="002974CF"/>
    <w:rsid w:val="002A3A72"/>
    <w:rsid w:val="002A7C5E"/>
    <w:rsid w:val="002B71C2"/>
    <w:rsid w:val="002D4361"/>
    <w:rsid w:val="002D776E"/>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94845"/>
    <w:rsid w:val="003A699B"/>
    <w:rsid w:val="003B4E9A"/>
    <w:rsid w:val="003B7D60"/>
    <w:rsid w:val="003C3C3A"/>
    <w:rsid w:val="003C484E"/>
    <w:rsid w:val="003D3F5C"/>
    <w:rsid w:val="003E5B7F"/>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33B3"/>
    <w:rsid w:val="004B5A5C"/>
    <w:rsid w:val="004C3048"/>
    <w:rsid w:val="004D1039"/>
    <w:rsid w:val="004D75DA"/>
    <w:rsid w:val="004E062B"/>
    <w:rsid w:val="004E4C8C"/>
    <w:rsid w:val="004F15C8"/>
    <w:rsid w:val="004F7247"/>
    <w:rsid w:val="00500C6E"/>
    <w:rsid w:val="0053240A"/>
    <w:rsid w:val="005461A2"/>
    <w:rsid w:val="00560C0D"/>
    <w:rsid w:val="005615DC"/>
    <w:rsid w:val="00564054"/>
    <w:rsid w:val="00565889"/>
    <w:rsid w:val="00576C3A"/>
    <w:rsid w:val="0059259E"/>
    <w:rsid w:val="005A1CC4"/>
    <w:rsid w:val="005A354B"/>
    <w:rsid w:val="005B4B10"/>
    <w:rsid w:val="005D2FBE"/>
    <w:rsid w:val="005D3D88"/>
    <w:rsid w:val="005E2D9F"/>
    <w:rsid w:val="005E54BA"/>
    <w:rsid w:val="005F47CB"/>
    <w:rsid w:val="00601FB6"/>
    <w:rsid w:val="0060634C"/>
    <w:rsid w:val="006130EF"/>
    <w:rsid w:val="00614679"/>
    <w:rsid w:val="00614C87"/>
    <w:rsid w:val="006323FD"/>
    <w:rsid w:val="006326C4"/>
    <w:rsid w:val="00633BEB"/>
    <w:rsid w:val="006340C8"/>
    <w:rsid w:val="00634D39"/>
    <w:rsid w:val="00637577"/>
    <w:rsid w:val="00654333"/>
    <w:rsid w:val="00661135"/>
    <w:rsid w:val="00662475"/>
    <w:rsid w:val="0066674D"/>
    <w:rsid w:val="00690C35"/>
    <w:rsid w:val="0069229F"/>
    <w:rsid w:val="00695335"/>
    <w:rsid w:val="006B670F"/>
    <w:rsid w:val="006C14F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546B"/>
    <w:rsid w:val="00786A03"/>
    <w:rsid w:val="007B7B0D"/>
    <w:rsid w:val="007B7BB9"/>
    <w:rsid w:val="007C0FB9"/>
    <w:rsid w:val="007C50BE"/>
    <w:rsid w:val="00805FC1"/>
    <w:rsid w:val="0081283D"/>
    <w:rsid w:val="0082349B"/>
    <w:rsid w:val="00835E1C"/>
    <w:rsid w:val="00836D33"/>
    <w:rsid w:val="00840D65"/>
    <w:rsid w:val="008451B4"/>
    <w:rsid w:val="00845205"/>
    <w:rsid w:val="00847568"/>
    <w:rsid w:val="00854C77"/>
    <w:rsid w:val="00855321"/>
    <w:rsid w:val="00855F16"/>
    <w:rsid w:val="00860AD4"/>
    <w:rsid w:val="008619E1"/>
    <w:rsid w:val="0086519B"/>
    <w:rsid w:val="0086709B"/>
    <w:rsid w:val="00870B3E"/>
    <w:rsid w:val="0087415A"/>
    <w:rsid w:val="00874A65"/>
    <w:rsid w:val="00877A58"/>
    <w:rsid w:val="0088776F"/>
    <w:rsid w:val="00890C7F"/>
    <w:rsid w:val="008A59CF"/>
    <w:rsid w:val="008A6E88"/>
    <w:rsid w:val="008A7323"/>
    <w:rsid w:val="008A77FD"/>
    <w:rsid w:val="008B0AF4"/>
    <w:rsid w:val="008B131E"/>
    <w:rsid w:val="008C5AF8"/>
    <w:rsid w:val="008D03E4"/>
    <w:rsid w:val="008D4752"/>
    <w:rsid w:val="008E1728"/>
    <w:rsid w:val="008F159C"/>
    <w:rsid w:val="008F468B"/>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8CA"/>
    <w:rsid w:val="009B5DB8"/>
    <w:rsid w:val="009C55B9"/>
    <w:rsid w:val="009C581F"/>
    <w:rsid w:val="009D0886"/>
    <w:rsid w:val="009E3C4D"/>
    <w:rsid w:val="009E4022"/>
    <w:rsid w:val="009F43E0"/>
    <w:rsid w:val="009F76ED"/>
    <w:rsid w:val="00A00AF9"/>
    <w:rsid w:val="00A0408D"/>
    <w:rsid w:val="00A050DB"/>
    <w:rsid w:val="00A2222A"/>
    <w:rsid w:val="00A40ECC"/>
    <w:rsid w:val="00A43C37"/>
    <w:rsid w:val="00A45A92"/>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4B66"/>
    <w:rsid w:val="00B6066A"/>
    <w:rsid w:val="00B63C2E"/>
    <w:rsid w:val="00B64D30"/>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7FE2"/>
    <w:rsid w:val="00CA1D82"/>
    <w:rsid w:val="00CA3EA6"/>
    <w:rsid w:val="00CB4643"/>
    <w:rsid w:val="00CC5EB2"/>
    <w:rsid w:val="00CD0E69"/>
    <w:rsid w:val="00CD2715"/>
    <w:rsid w:val="00CE4E08"/>
    <w:rsid w:val="00CE543B"/>
    <w:rsid w:val="00CF2FBA"/>
    <w:rsid w:val="00D16EA6"/>
    <w:rsid w:val="00D213CD"/>
    <w:rsid w:val="00D24E51"/>
    <w:rsid w:val="00D32E81"/>
    <w:rsid w:val="00D357E7"/>
    <w:rsid w:val="00D43467"/>
    <w:rsid w:val="00D446E8"/>
    <w:rsid w:val="00D53DA9"/>
    <w:rsid w:val="00D56A62"/>
    <w:rsid w:val="00D62C61"/>
    <w:rsid w:val="00D646D8"/>
    <w:rsid w:val="00D67B4E"/>
    <w:rsid w:val="00D71950"/>
    <w:rsid w:val="00D802D9"/>
    <w:rsid w:val="00D8349F"/>
    <w:rsid w:val="00D86194"/>
    <w:rsid w:val="00D8757D"/>
    <w:rsid w:val="00D9535A"/>
    <w:rsid w:val="00DA56A9"/>
    <w:rsid w:val="00DB0CAD"/>
    <w:rsid w:val="00DB183F"/>
    <w:rsid w:val="00DB4045"/>
    <w:rsid w:val="00DB4EA6"/>
    <w:rsid w:val="00DB5336"/>
    <w:rsid w:val="00DC2186"/>
    <w:rsid w:val="00DC48BD"/>
    <w:rsid w:val="00DD09A6"/>
    <w:rsid w:val="00DD16FB"/>
    <w:rsid w:val="00DD5721"/>
    <w:rsid w:val="00DE67B2"/>
    <w:rsid w:val="00DE75FC"/>
    <w:rsid w:val="00DF2B5B"/>
    <w:rsid w:val="00E00DCA"/>
    <w:rsid w:val="00E03E7F"/>
    <w:rsid w:val="00E0487E"/>
    <w:rsid w:val="00E12EC2"/>
    <w:rsid w:val="00E22ADE"/>
    <w:rsid w:val="00E22AF6"/>
    <w:rsid w:val="00E31CC4"/>
    <w:rsid w:val="00E3663E"/>
    <w:rsid w:val="00E408E2"/>
    <w:rsid w:val="00E40AA8"/>
    <w:rsid w:val="00E44C3C"/>
    <w:rsid w:val="00E47A74"/>
    <w:rsid w:val="00E56097"/>
    <w:rsid w:val="00E61E3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11D1"/>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character" w:styleId="Refdecomentrio">
    <w:name w:val="annotation reference"/>
    <w:basedOn w:val="Fontepargpadro"/>
    <w:uiPriority w:val="99"/>
    <w:semiHidden/>
    <w:unhideWhenUsed/>
    <w:rsid w:val="00102830"/>
    <w:rPr>
      <w:sz w:val="16"/>
      <w:szCs w:val="16"/>
    </w:rPr>
  </w:style>
  <w:style w:type="paragraph" w:styleId="Textodecomentrio">
    <w:name w:val="annotation text"/>
    <w:basedOn w:val="Normal"/>
    <w:link w:val="TextodecomentrioChar"/>
    <w:uiPriority w:val="99"/>
    <w:unhideWhenUsed/>
    <w:rsid w:val="00102830"/>
    <w:rPr>
      <w:sz w:val="20"/>
      <w:szCs w:val="20"/>
    </w:rPr>
  </w:style>
  <w:style w:type="character" w:customStyle="1" w:styleId="TextodecomentrioChar">
    <w:name w:val="Texto de comentário Char"/>
    <w:basedOn w:val="Fontepargpadro"/>
    <w:link w:val="Textodecomentrio"/>
    <w:uiPriority w:val="99"/>
    <w:rsid w:val="00102830"/>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02830"/>
    <w:rPr>
      <w:b/>
      <w:bCs/>
    </w:rPr>
  </w:style>
  <w:style w:type="character" w:customStyle="1" w:styleId="AssuntodocomentrioChar">
    <w:name w:val="Assunto do comentário Char"/>
    <w:basedOn w:val="TextodecomentrioChar"/>
    <w:link w:val="Assuntodocomentrio"/>
    <w:uiPriority w:val="99"/>
    <w:semiHidden/>
    <w:rsid w:val="00102830"/>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2239867">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FC60-8771-4DE8-BEA7-1604D8C3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3117</Words>
  <Characters>16836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cp:revision>
  <cp:lastPrinted>2019-02-22T13:49:00Z</cp:lastPrinted>
  <dcterms:created xsi:type="dcterms:W3CDTF">2019-02-22T13:49:00Z</dcterms:created>
  <dcterms:modified xsi:type="dcterms:W3CDTF">2019-02-22T13:49:00Z</dcterms:modified>
</cp:coreProperties>
</file>