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C56EC3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C56EC3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6EC3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C56EC3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C56EC3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C56EC3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6EC3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C56EC3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C56EC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C56EC3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C56EC3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6EC3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C56EC3" w:rsidRDefault="00C067DF" w:rsidP="00C56EC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C56EC3">
              <w:rPr>
                <w:rFonts w:ascii="Times New Roman" w:hAnsi="Times New Roman"/>
                <w:sz w:val="22"/>
                <w:szCs w:val="22"/>
              </w:rPr>
              <w:t>Homologa a c</w:t>
            </w:r>
            <w:r w:rsidR="00F73BFC" w:rsidRPr="00C56EC3">
              <w:rPr>
                <w:rFonts w:ascii="Times New Roman" w:hAnsi="Times New Roman"/>
                <w:sz w:val="22"/>
                <w:szCs w:val="22"/>
              </w:rPr>
              <w:t>omp</w:t>
            </w:r>
            <w:r w:rsidRPr="00C56EC3">
              <w:rPr>
                <w:rFonts w:ascii="Times New Roman" w:hAnsi="Times New Roman"/>
                <w:sz w:val="22"/>
                <w:szCs w:val="22"/>
              </w:rPr>
              <w:t>osição</w:t>
            </w:r>
            <w:r w:rsidR="00484713" w:rsidRPr="00C56E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7CCC">
              <w:rPr>
                <w:rFonts w:ascii="Times New Roman" w:hAnsi="Times New Roman"/>
                <w:sz w:val="22"/>
                <w:szCs w:val="22"/>
              </w:rPr>
              <w:t xml:space="preserve">e coordenação </w:t>
            </w:r>
            <w:r w:rsidRPr="00C56EC3">
              <w:rPr>
                <w:rFonts w:ascii="Times New Roman" w:hAnsi="Times New Roman"/>
                <w:sz w:val="22"/>
                <w:szCs w:val="22"/>
              </w:rPr>
              <w:t>d</w:t>
            </w:r>
            <w:r w:rsidR="00484713" w:rsidRPr="00C56EC3">
              <w:rPr>
                <w:rFonts w:ascii="Times New Roman" w:hAnsi="Times New Roman"/>
                <w:sz w:val="22"/>
                <w:szCs w:val="22"/>
              </w:rPr>
              <w:t>a</w:t>
            </w:r>
            <w:r w:rsidRPr="00C56EC3">
              <w:rPr>
                <w:rFonts w:ascii="Times New Roman" w:hAnsi="Times New Roman"/>
                <w:sz w:val="22"/>
                <w:szCs w:val="22"/>
              </w:rPr>
              <w:t>s</w:t>
            </w:r>
            <w:r w:rsidR="00484713" w:rsidRPr="00C56E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56EC3">
              <w:rPr>
                <w:rFonts w:ascii="Times New Roman" w:hAnsi="Times New Roman"/>
                <w:sz w:val="22"/>
                <w:szCs w:val="22"/>
              </w:rPr>
              <w:t>Comissões Ordinárias do CAU/RS para 2019.</w:t>
            </w:r>
          </w:p>
        </w:tc>
      </w:tr>
    </w:tbl>
    <w:p w:rsidR="00124A49" w:rsidRPr="00C56EC3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56EC3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C56EC3">
        <w:rPr>
          <w:rFonts w:ascii="Times New Roman" w:hAnsi="Times New Roman"/>
          <w:sz w:val="22"/>
          <w:szCs w:val="22"/>
          <w:lang w:eastAsia="pt-BR"/>
        </w:rPr>
        <w:t>/RS</w:t>
      </w:r>
      <w:r w:rsidRPr="00C56EC3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C067DF" w:rsidRPr="00C56EC3">
        <w:rPr>
          <w:rFonts w:ascii="Times New Roman" w:hAnsi="Times New Roman"/>
          <w:sz w:val="22"/>
          <w:szCs w:val="22"/>
          <w:lang w:eastAsia="pt-BR"/>
        </w:rPr>
        <w:t>1011</w:t>
      </w:r>
      <w:r w:rsidRPr="00C56EC3">
        <w:rPr>
          <w:rFonts w:ascii="Times New Roman" w:hAnsi="Times New Roman"/>
          <w:sz w:val="22"/>
          <w:szCs w:val="22"/>
          <w:lang w:eastAsia="pt-BR"/>
        </w:rPr>
        <w:t>/</w:t>
      </w:r>
      <w:r w:rsidR="00484713" w:rsidRPr="00C56EC3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Pr="00C56EC3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C56EC3" w:rsidRDefault="00C067DF" w:rsidP="00C067DF">
      <w:pPr>
        <w:ind w:left="4956"/>
        <w:jc w:val="both"/>
        <w:rPr>
          <w:rFonts w:ascii="Times New Roman" w:hAnsi="Times New Roman"/>
          <w:sz w:val="20"/>
          <w:szCs w:val="22"/>
          <w:lang w:eastAsia="pt-BR"/>
        </w:rPr>
      </w:pPr>
      <w:r w:rsidRPr="00C56EC3">
        <w:rPr>
          <w:rFonts w:ascii="Times New Roman" w:hAnsi="Times New Roman"/>
          <w:sz w:val="20"/>
          <w:szCs w:val="22"/>
        </w:rPr>
        <w:t xml:space="preserve">Homologa a composição </w:t>
      </w:r>
      <w:r w:rsidR="00217CCC">
        <w:rPr>
          <w:rFonts w:ascii="Times New Roman" w:hAnsi="Times New Roman"/>
          <w:sz w:val="20"/>
          <w:szCs w:val="22"/>
        </w:rPr>
        <w:t xml:space="preserve">e coordenação </w:t>
      </w:r>
      <w:r w:rsidRPr="00C56EC3">
        <w:rPr>
          <w:rFonts w:ascii="Times New Roman" w:hAnsi="Times New Roman"/>
          <w:sz w:val="20"/>
          <w:szCs w:val="22"/>
        </w:rPr>
        <w:t>das Comissões Ordinárias do CAU/RS para 2019.</w:t>
      </w:r>
    </w:p>
    <w:p w:rsidR="00C87699" w:rsidRPr="00C56EC3" w:rsidRDefault="007560FA" w:rsidP="007560FA">
      <w:pPr>
        <w:tabs>
          <w:tab w:val="left" w:pos="8536"/>
        </w:tabs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  <w:r w:rsidRPr="00C56EC3">
        <w:rPr>
          <w:rFonts w:ascii="Times New Roman" w:hAnsi="Times New Roman"/>
          <w:sz w:val="22"/>
          <w:szCs w:val="22"/>
          <w:lang w:eastAsia="pt-BR"/>
        </w:rPr>
        <w:tab/>
      </w:r>
    </w:p>
    <w:p w:rsidR="00124A49" w:rsidRPr="00C56EC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EC3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C56EC3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C56EC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C56EC3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C56EC3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C56EC3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C56EC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C56EC3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C56EC3">
        <w:rPr>
          <w:rFonts w:ascii="Times New Roman" w:hAnsi="Times New Roman"/>
          <w:sz w:val="22"/>
          <w:szCs w:val="22"/>
          <w:lang w:eastAsia="pt-BR"/>
        </w:rPr>
        <w:t>/RS</w:t>
      </w:r>
      <w:r w:rsidRPr="00C56EC3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C56EC3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C56EC3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C56EC3">
        <w:rPr>
          <w:rFonts w:ascii="Times New Roman" w:hAnsi="Times New Roman"/>
          <w:sz w:val="22"/>
          <w:szCs w:val="22"/>
          <w:lang w:eastAsia="pt-BR"/>
        </w:rPr>
        <w:t>S</w:t>
      </w:r>
      <w:r w:rsidRPr="00C56EC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84713" w:rsidRPr="00C56EC3">
        <w:rPr>
          <w:rFonts w:ascii="Times New Roman" w:hAnsi="Times New Roman"/>
          <w:sz w:val="22"/>
          <w:szCs w:val="22"/>
          <w:lang w:eastAsia="pt-BR"/>
        </w:rPr>
        <w:t>25 de janeiro de 2019</w:t>
      </w:r>
      <w:r w:rsidRPr="00C56EC3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C56EC3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67DF" w:rsidRPr="00C56EC3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EC3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C067DF" w:rsidRPr="00C56EC3">
        <w:rPr>
          <w:rFonts w:ascii="Times New Roman" w:hAnsi="Times New Roman"/>
          <w:sz w:val="22"/>
          <w:szCs w:val="22"/>
          <w:lang w:eastAsia="pt-BR"/>
        </w:rPr>
        <w:t xml:space="preserve">que o Regimento Interno do CAU/RS estabelece </w:t>
      </w:r>
      <w:r w:rsidRPr="00C56EC3">
        <w:rPr>
          <w:rFonts w:ascii="Times New Roman" w:hAnsi="Times New Roman"/>
          <w:sz w:val="22"/>
          <w:szCs w:val="22"/>
          <w:lang w:eastAsia="pt-BR"/>
        </w:rPr>
        <w:t xml:space="preserve">que </w:t>
      </w:r>
      <w:r w:rsidR="00C067DF" w:rsidRPr="00C56EC3">
        <w:rPr>
          <w:rFonts w:ascii="Times New Roman" w:hAnsi="Times New Roman"/>
          <w:sz w:val="22"/>
          <w:szCs w:val="22"/>
          <w:lang w:eastAsia="pt-BR"/>
        </w:rPr>
        <w:t>as comissões ordinárias e especial serão recompostas na primeira reunião plenária do ano;</w:t>
      </w:r>
    </w:p>
    <w:p w:rsidR="00C067DF" w:rsidRPr="00C56EC3" w:rsidRDefault="00C067DF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C56EC3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C56EC3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484713" w:rsidRPr="00C56EC3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C56EC3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C56EC3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C56EC3">
        <w:rPr>
          <w:rFonts w:ascii="Times New Roman" w:hAnsi="Times New Roman"/>
          <w:sz w:val="22"/>
          <w:szCs w:val="22"/>
          <w:lang w:eastAsia="pt-BR"/>
        </w:rPr>
        <w:tab/>
      </w:r>
    </w:p>
    <w:p w:rsidR="00C067DF" w:rsidRPr="00C56EC3" w:rsidRDefault="00C067DF" w:rsidP="00767157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EC3">
        <w:rPr>
          <w:rFonts w:ascii="Times New Roman" w:hAnsi="Times New Roman"/>
          <w:sz w:val="22"/>
          <w:szCs w:val="22"/>
        </w:rPr>
        <w:t xml:space="preserve">Homologar a composição </w:t>
      </w:r>
      <w:r w:rsidR="00217CCC">
        <w:rPr>
          <w:rFonts w:ascii="Times New Roman" w:hAnsi="Times New Roman"/>
          <w:sz w:val="22"/>
          <w:szCs w:val="22"/>
        </w:rPr>
        <w:t xml:space="preserve">e coordenação </w:t>
      </w:r>
      <w:r w:rsidRPr="00C56EC3">
        <w:rPr>
          <w:rFonts w:ascii="Times New Roman" w:hAnsi="Times New Roman"/>
          <w:sz w:val="22"/>
          <w:szCs w:val="22"/>
        </w:rPr>
        <w:t>das comissões ordinárias do CAU/RS para 2019, conforme detalhamento abaixo:</w:t>
      </w:r>
    </w:p>
    <w:p w:rsidR="00D13776" w:rsidRPr="00C56EC3" w:rsidRDefault="00D13776" w:rsidP="00D13776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B79A3" w:rsidRPr="00C56EC3" w:rsidRDefault="003B79A3" w:rsidP="003B79A3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 Comissão de Ensino e Formação (CEF) </w:t>
      </w:r>
    </w:p>
    <w:p w:rsidR="003B79A3" w:rsidRPr="00C56EC3" w:rsidRDefault="00217CCC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Cláudio Fischer (Coordenador);</w:t>
      </w:r>
    </w:p>
    <w:p w:rsidR="00217CCC" w:rsidRPr="00C56EC3" w:rsidRDefault="00217CCC" w:rsidP="00217CCC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Rodrigo </w:t>
      </w:r>
      <w:r>
        <w:rPr>
          <w:rFonts w:ascii="Times New Roman" w:hAnsi="Times New Roman"/>
          <w:sz w:val="22"/>
          <w:szCs w:val="22"/>
        </w:rPr>
        <w:t>Spinelli (Coordenador Adjunto</w:t>
      </w:r>
      <w:r>
        <w:rPr>
          <w:rFonts w:ascii="Times New Roman" w:hAnsi="Times New Roman"/>
          <w:sz w:val="22"/>
          <w:szCs w:val="22"/>
        </w:rPr>
        <w:t>);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Paulo Ricardo </w:t>
      </w:r>
      <w:proofErr w:type="spellStart"/>
      <w:r w:rsidRPr="00C56EC3">
        <w:rPr>
          <w:rFonts w:ascii="Times New Roman" w:hAnsi="Times New Roman"/>
          <w:sz w:val="22"/>
          <w:szCs w:val="22"/>
        </w:rPr>
        <w:t>Bregatto</w:t>
      </w:r>
      <w:proofErr w:type="spellEnd"/>
      <w:r w:rsidRPr="00C56EC3">
        <w:rPr>
          <w:rFonts w:ascii="Times New Roman" w:hAnsi="Times New Roman"/>
          <w:sz w:val="22"/>
          <w:szCs w:val="22"/>
        </w:rPr>
        <w:t>;</w:t>
      </w:r>
    </w:p>
    <w:p w:rsidR="003B79A3" w:rsidRPr="00C56EC3" w:rsidRDefault="00217CCC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José Arthur </w:t>
      </w:r>
      <w:proofErr w:type="spellStart"/>
      <w:r>
        <w:rPr>
          <w:rFonts w:ascii="Times New Roman" w:hAnsi="Times New Roman"/>
          <w:sz w:val="22"/>
          <w:szCs w:val="22"/>
        </w:rPr>
        <w:t>Fell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D13776" w:rsidRPr="00C56EC3" w:rsidRDefault="00D13776" w:rsidP="00D13776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3B79A3" w:rsidRPr="00C56EC3" w:rsidRDefault="003B79A3" w:rsidP="003B79A3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Comissão de Ética e Disciplina (CED)</w:t>
      </w:r>
    </w:p>
    <w:p w:rsidR="003B79A3" w:rsidRPr="00C56EC3" w:rsidRDefault="00217CCC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Rui Mineiro </w:t>
      </w:r>
      <w:r>
        <w:rPr>
          <w:rFonts w:ascii="Times New Roman" w:hAnsi="Times New Roman"/>
          <w:sz w:val="22"/>
          <w:szCs w:val="22"/>
        </w:rPr>
        <w:t>(Coordenador);</w:t>
      </w:r>
    </w:p>
    <w:p w:rsidR="003B79A3" w:rsidRPr="00C56EC3" w:rsidRDefault="00217CCC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Noé Vega Cotta de Mello </w:t>
      </w:r>
      <w:r>
        <w:rPr>
          <w:rFonts w:ascii="Times New Roman" w:hAnsi="Times New Roman"/>
          <w:sz w:val="22"/>
          <w:szCs w:val="22"/>
        </w:rPr>
        <w:t>(Coordenador Adjunto);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Rodrigo Spinelli;</w:t>
      </w:r>
    </w:p>
    <w:p w:rsidR="007560FA" w:rsidRPr="00C56EC3" w:rsidRDefault="007560FA" w:rsidP="007560FA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Roberto Luís </w:t>
      </w:r>
      <w:proofErr w:type="spellStart"/>
      <w:r w:rsidRPr="00C56EC3">
        <w:rPr>
          <w:rFonts w:ascii="Times New Roman" w:hAnsi="Times New Roman"/>
          <w:sz w:val="22"/>
          <w:szCs w:val="22"/>
        </w:rPr>
        <w:t>Decó</w:t>
      </w:r>
      <w:proofErr w:type="spellEnd"/>
      <w:r w:rsidRPr="00C56EC3">
        <w:rPr>
          <w:rFonts w:ascii="Times New Roman" w:hAnsi="Times New Roman"/>
          <w:sz w:val="22"/>
          <w:szCs w:val="22"/>
        </w:rPr>
        <w:t>.</w:t>
      </w:r>
    </w:p>
    <w:p w:rsidR="00D13776" w:rsidRPr="00C56EC3" w:rsidRDefault="00D13776" w:rsidP="00D13776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3B79A3" w:rsidRPr="00C56EC3" w:rsidRDefault="003B79A3" w:rsidP="003B79A3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Comissão de Exercício Profissional (CEP) </w:t>
      </w:r>
    </w:p>
    <w:p w:rsidR="003B79A3" w:rsidRPr="00C56EC3" w:rsidRDefault="00217CCC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Oritz Adriano Adams de Campos </w:t>
      </w:r>
      <w:r>
        <w:rPr>
          <w:rFonts w:ascii="Times New Roman" w:hAnsi="Times New Roman"/>
          <w:sz w:val="22"/>
          <w:szCs w:val="22"/>
        </w:rPr>
        <w:t>(Coordenador);</w:t>
      </w:r>
    </w:p>
    <w:p w:rsidR="003B79A3" w:rsidRPr="00C56EC3" w:rsidRDefault="00217CCC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Helenice</w:t>
      </w:r>
      <w:proofErr w:type="spellEnd"/>
      <w:r>
        <w:rPr>
          <w:rFonts w:ascii="Times New Roman" w:hAnsi="Times New Roman"/>
          <w:sz w:val="22"/>
          <w:szCs w:val="22"/>
        </w:rPr>
        <w:t xml:space="preserve"> Macedo do Couto </w:t>
      </w:r>
      <w:r>
        <w:rPr>
          <w:rFonts w:ascii="Times New Roman" w:hAnsi="Times New Roman"/>
          <w:sz w:val="22"/>
          <w:szCs w:val="22"/>
        </w:rPr>
        <w:t>(Coordenador Adjunto);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Matias Revello Vazquez;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Roberto </w:t>
      </w:r>
      <w:r w:rsidR="007560FA" w:rsidRPr="00C56EC3">
        <w:rPr>
          <w:rFonts w:ascii="Times New Roman" w:hAnsi="Times New Roman"/>
          <w:sz w:val="22"/>
          <w:szCs w:val="22"/>
        </w:rPr>
        <w:t>Luís</w:t>
      </w:r>
      <w:r w:rsidRPr="00C56E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6EC3">
        <w:rPr>
          <w:rFonts w:ascii="Times New Roman" w:hAnsi="Times New Roman"/>
          <w:sz w:val="22"/>
          <w:szCs w:val="22"/>
        </w:rPr>
        <w:t>Decó</w:t>
      </w:r>
      <w:proofErr w:type="spellEnd"/>
      <w:r w:rsidRPr="00C56EC3">
        <w:rPr>
          <w:rFonts w:ascii="Times New Roman" w:hAnsi="Times New Roman"/>
          <w:sz w:val="22"/>
          <w:szCs w:val="22"/>
        </w:rPr>
        <w:t>.</w:t>
      </w:r>
    </w:p>
    <w:p w:rsidR="00D13776" w:rsidRPr="00C56EC3" w:rsidRDefault="00D13776" w:rsidP="00D13776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3B79A3" w:rsidRPr="00C56EC3" w:rsidRDefault="003B79A3" w:rsidP="003B79A3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Comissão de Organização e Administração (COA) 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P</w:t>
      </w:r>
      <w:r w:rsidR="00217CCC">
        <w:rPr>
          <w:rFonts w:ascii="Times New Roman" w:hAnsi="Times New Roman"/>
          <w:sz w:val="22"/>
          <w:szCs w:val="22"/>
        </w:rPr>
        <w:t xml:space="preserve">aulo Fernando do Amaral Fontana </w:t>
      </w:r>
      <w:r w:rsidR="00217CCC">
        <w:rPr>
          <w:rFonts w:ascii="Times New Roman" w:hAnsi="Times New Roman"/>
          <w:sz w:val="22"/>
          <w:szCs w:val="22"/>
        </w:rPr>
        <w:t>(Coordenador);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Vinicius Vieira de Souza</w:t>
      </w:r>
      <w:r w:rsidR="00217CCC">
        <w:rPr>
          <w:rFonts w:ascii="Times New Roman" w:hAnsi="Times New Roman"/>
          <w:sz w:val="22"/>
          <w:szCs w:val="22"/>
        </w:rPr>
        <w:t xml:space="preserve"> </w:t>
      </w:r>
      <w:r w:rsidR="00217CCC">
        <w:rPr>
          <w:rFonts w:ascii="Times New Roman" w:hAnsi="Times New Roman"/>
          <w:sz w:val="22"/>
          <w:szCs w:val="22"/>
        </w:rPr>
        <w:t>(Coordenador Adjunto);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Clóvis Ilgenfritz da Silva;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Manoel Joaquim Tostes</w:t>
      </w:r>
      <w:r w:rsidR="007560FA" w:rsidRPr="00C56EC3">
        <w:rPr>
          <w:rFonts w:ascii="Times New Roman" w:hAnsi="Times New Roman"/>
          <w:sz w:val="22"/>
          <w:szCs w:val="22"/>
        </w:rPr>
        <w:t>;</w:t>
      </w:r>
    </w:p>
    <w:p w:rsidR="007560FA" w:rsidRPr="00C56EC3" w:rsidRDefault="007560FA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Paulo Ricardo </w:t>
      </w:r>
      <w:proofErr w:type="spellStart"/>
      <w:r w:rsidRPr="00C56EC3">
        <w:rPr>
          <w:rFonts w:ascii="Times New Roman" w:hAnsi="Times New Roman"/>
          <w:sz w:val="22"/>
          <w:szCs w:val="22"/>
        </w:rPr>
        <w:t>Bregatto</w:t>
      </w:r>
      <w:proofErr w:type="spellEnd"/>
      <w:r w:rsidRPr="00C56EC3">
        <w:rPr>
          <w:rFonts w:ascii="Times New Roman" w:hAnsi="Times New Roman"/>
          <w:sz w:val="22"/>
          <w:szCs w:val="22"/>
        </w:rPr>
        <w:t>.</w:t>
      </w:r>
    </w:p>
    <w:p w:rsidR="00D13776" w:rsidRPr="00C56EC3" w:rsidRDefault="00D13776" w:rsidP="00D13776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D13776" w:rsidRPr="00C56EC3" w:rsidRDefault="00D13776" w:rsidP="00D13776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3B79A3" w:rsidRPr="00C56EC3" w:rsidRDefault="003B79A3" w:rsidP="003B79A3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Comissão de Planejamento e Finanças (</w:t>
      </w:r>
      <w:proofErr w:type="spellStart"/>
      <w:r w:rsidRPr="00C56EC3">
        <w:rPr>
          <w:rFonts w:ascii="Times New Roman" w:hAnsi="Times New Roman"/>
          <w:sz w:val="22"/>
          <w:szCs w:val="22"/>
        </w:rPr>
        <w:t>CPFi</w:t>
      </w:r>
      <w:proofErr w:type="spellEnd"/>
      <w:r w:rsidRPr="00C56EC3">
        <w:rPr>
          <w:rFonts w:ascii="Times New Roman" w:hAnsi="Times New Roman"/>
          <w:sz w:val="22"/>
          <w:szCs w:val="22"/>
        </w:rPr>
        <w:t>)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Rômulo </w:t>
      </w:r>
      <w:proofErr w:type="spellStart"/>
      <w:r w:rsidRPr="00C56EC3">
        <w:rPr>
          <w:rFonts w:ascii="Times New Roman" w:hAnsi="Times New Roman"/>
          <w:sz w:val="22"/>
          <w:szCs w:val="22"/>
        </w:rPr>
        <w:t>Plentz</w:t>
      </w:r>
      <w:proofErr w:type="spellEnd"/>
      <w:r w:rsidRPr="00C56E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6EC3">
        <w:rPr>
          <w:rFonts w:ascii="Times New Roman" w:hAnsi="Times New Roman"/>
          <w:sz w:val="22"/>
          <w:szCs w:val="22"/>
        </w:rPr>
        <w:t>Gir</w:t>
      </w:r>
      <w:r w:rsidR="00217CCC">
        <w:rPr>
          <w:rFonts w:ascii="Times New Roman" w:hAnsi="Times New Roman"/>
          <w:sz w:val="22"/>
          <w:szCs w:val="22"/>
        </w:rPr>
        <w:t>alt</w:t>
      </w:r>
      <w:proofErr w:type="spellEnd"/>
      <w:r w:rsidR="00217CCC">
        <w:rPr>
          <w:rFonts w:ascii="Times New Roman" w:hAnsi="Times New Roman"/>
          <w:sz w:val="22"/>
          <w:szCs w:val="22"/>
        </w:rPr>
        <w:t xml:space="preserve"> </w:t>
      </w:r>
      <w:r w:rsidR="00217CCC">
        <w:rPr>
          <w:rFonts w:ascii="Times New Roman" w:hAnsi="Times New Roman"/>
          <w:sz w:val="22"/>
          <w:szCs w:val="22"/>
        </w:rPr>
        <w:t>(Coordenador);</w:t>
      </w:r>
    </w:p>
    <w:p w:rsidR="003B79A3" w:rsidRPr="00C56EC3" w:rsidRDefault="00217CCC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Priscila Terra </w:t>
      </w:r>
      <w:proofErr w:type="spellStart"/>
      <w:r>
        <w:rPr>
          <w:rFonts w:ascii="Times New Roman" w:hAnsi="Times New Roman"/>
          <w:sz w:val="22"/>
          <w:szCs w:val="22"/>
        </w:rPr>
        <w:t>Quesada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(Coordenador Adjunto);</w:t>
      </w:r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Alvino Jara;</w:t>
      </w:r>
      <w:bookmarkStart w:id="0" w:name="_GoBack"/>
      <w:bookmarkEnd w:id="0"/>
    </w:p>
    <w:p w:rsidR="003B79A3" w:rsidRPr="00C56EC3" w:rsidRDefault="003B79A3" w:rsidP="003B79A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lastRenderedPageBreak/>
        <w:t>Raquel Rhoden Bresolin.</w:t>
      </w:r>
    </w:p>
    <w:p w:rsidR="00EA14BC" w:rsidRPr="00C56EC3" w:rsidRDefault="00EA14BC" w:rsidP="00EA14BC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EC3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EA14BC" w:rsidRPr="00C56EC3" w:rsidRDefault="00EA14BC" w:rsidP="00D13776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EC3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EA14BC" w:rsidRPr="00C56EC3" w:rsidRDefault="00EA14BC" w:rsidP="003E69D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F0E61" w:rsidRPr="00C56EC3" w:rsidRDefault="00AF0E61" w:rsidP="00AF0E61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C56EC3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EA14BC" w:rsidRPr="00C56EC3" w:rsidRDefault="00EA14BC" w:rsidP="003E69D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13776" w:rsidRPr="00C56EC3" w:rsidRDefault="00D13776" w:rsidP="00D1377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C56EC3">
        <w:rPr>
          <w:rFonts w:ascii="Times New Roman" w:hAnsi="Times New Roman"/>
          <w:sz w:val="22"/>
          <w:szCs w:val="22"/>
          <w:lang w:eastAsia="pt-BR"/>
        </w:rPr>
        <w:t xml:space="preserve">Com 17 (dezessete) votos favoráveis dos conselheiros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, Claudio Fischer, Clóvis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Ilgenfritz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 da Silva,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Helenice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 Macedo do Couto, José Arthur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, Manoel Joaquim Tostes, Matias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Revello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Vazquez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, Raquel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Rhoden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Bresolin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, Márcia Elizabeth Martins, Rodrigo Spinelli, Magali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Mingotti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, Rui Mineiro e Vinícius Vieira de Souza </w:t>
      </w:r>
      <w:r w:rsidRPr="00C56EC3">
        <w:rPr>
          <w:rFonts w:ascii="Times New Roman" w:hAnsi="Times New Roman"/>
          <w:sz w:val="22"/>
          <w:szCs w:val="22"/>
        </w:rPr>
        <w:t xml:space="preserve">e 01 (uma) </w:t>
      </w:r>
      <w:r w:rsidRPr="00C56EC3">
        <w:rPr>
          <w:rFonts w:ascii="Times New Roman" w:hAnsi="Times New Roman"/>
          <w:sz w:val="22"/>
          <w:szCs w:val="22"/>
          <w:lang w:eastAsia="pt-BR"/>
        </w:rPr>
        <w:t xml:space="preserve">ausência da conselheira Roberta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Krahe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C56EC3">
        <w:rPr>
          <w:rFonts w:ascii="Times New Roman" w:hAnsi="Times New Roman"/>
          <w:sz w:val="22"/>
          <w:szCs w:val="22"/>
          <w:lang w:eastAsia="pt-BR"/>
        </w:rPr>
        <w:t>Edelweiss</w:t>
      </w:r>
      <w:proofErr w:type="spellEnd"/>
      <w:r w:rsidRPr="00C56EC3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C56EC3" w:rsidRPr="00C56EC3" w:rsidRDefault="00C56EC3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C56EC3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 xml:space="preserve">Porto Alegre – RS, </w:t>
      </w:r>
      <w:r w:rsidR="00AD755E" w:rsidRPr="00C56EC3">
        <w:rPr>
          <w:rFonts w:ascii="Times New Roman" w:hAnsi="Times New Roman"/>
          <w:sz w:val="22"/>
          <w:szCs w:val="22"/>
        </w:rPr>
        <w:t>25</w:t>
      </w:r>
      <w:r w:rsidRPr="00C56EC3">
        <w:rPr>
          <w:rFonts w:ascii="Times New Roman" w:hAnsi="Times New Roman"/>
          <w:sz w:val="22"/>
          <w:szCs w:val="22"/>
        </w:rPr>
        <w:t xml:space="preserve"> de </w:t>
      </w:r>
      <w:r w:rsidR="00AD755E" w:rsidRPr="00C56EC3">
        <w:rPr>
          <w:rFonts w:ascii="Times New Roman" w:hAnsi="Times New Roman"/>
          <w:sz w:val="22"/>
          <w:szCs w:val="22"/>
        </w:rPr>
        <w:t xml:space="preserve">janeiro </w:t>
      </w:r>
      <w:r w:rsidRPr="00C56EC3">
        <w:rPr>
          <w:rFonts w:ascii="Times New Roman" w:hAnsi="Times New Roman"/>
          <w:sz w:val="22"/>
          <w:szCs w:val="22"/>
        </w:rPr>
        <w:t>de 201</w:t>
      </w:r>
      <w:r w:rsidR="00AD755E" w:rsidRPr="00C56EC3">
        <w:rPr>
          <w:rFonts w:ascii="Times New Roman" w:hAnsi="Times New Roman"/>
          <w:sz w:val="22"/>
          <w:szCs w:val="22"/>
        </w:rPr>
        <w:t>9</w:t>
      </w:r>
      <w:r w:rsidRPr="00C56EC3">
        <w:rPr>
          <w:rFonts w:ascii="Times New Roman" w:hAnsi="Times New Roman"/>
          <w:sz w:val="22"/>
          <w:szCs w:val="22"/>
        </w:rPr>
        <w:t>.</w:t>
      </w:r>
    </w:p>
    <w:p w:rsidR="00BF1FEF" w:rsidRPr="00C56EC3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BF1FEF" w:rsidRPr="00C56EC3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767157" w:rsidRPr="00C56EC3" w:rsidRDefault="00767157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BF1FEF" w:rsidRPr="00C56EC3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BF1FEF" w:rsidRPr="00C56EC3" w:rsidRDefault="00BF1FEF" w:rsidP="00BF1FEF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C56EC3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BF1FEF" w:rsidRPr="00C56EC3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C56EC3">
        <w:rPr>
          <w:rFonts w:ascii="Times New Roman" w:hAnsi="Times New Roman"/>
          <w:sz w:val="22"/>
          <w:szCs w:val="22"/>
        </w:rPr>
        <w:t>Presidente do CAU/RS</w:t>
      </w:r>
    </w:p>
    <w:p w:rsidR="00C56EC3" w:rsidRDefault="00BF1FEF" w:rsidP="00AD755E">
      <w:pPr>
        <w:spacing w:after="200" w:line="276" w:lineRule="auto"/>
        <w:jc w:val="center"/>
        <w:rPr>
          <w:rFonts w:ascii="Times New Roman" w:hAnsi="Times New Roman"/>
        </w:rPr>
      </w:pPr>
      <w:r w:rsidRPr="00D13776">
        <w:rPr>
          <w:rFonts w:ascii="Times New Roman" w:hAnsi="Times New Roman"/>
        </w:rPr>
        <w:br w:type="page"/>
      </w:r>
    </w:p>
    <w:p w:rsidR="00C56EC3" w:rsidRDefault="00C56EC3" w:rsidP="00AD755E">
      <w:pPr>
        <w:spacing w:after="200" w:line="276" w:lineRule="auto"/>
        <w:jc w:val="center"/>
        <w:rPr>
          <w:rFonts w:ascii="Times New Roman" w:hAnsi="Times New Roman"/>
        </w:rPr>
      </w:pPr>
    </w:p>
    <w:p w:rsidR="00C56EC3" w:rsidRDefault="00C56EC3" w:rsidP="00AD755E">
      <w:pPr>
        <w:spacing w:after="200" w:line="276" w:lineRule="auto"/>
        <w:jc w:val="center"/>
        <w:rPr>
          <w:rFonts w:ascii="Times New Roman" w:hAnsi="Times New Roman"/>
        </w:rPr>
      </w:pPr>
    </w:p>
    <w:p w:rsidR="00BF1FEF" w:rsidRPr="00C56EC3" w:rsidRDefault="00AD755E" w:rsidP="00AD755E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lang w:eastAsia="pt-BR"/>
        </w:rPr>
      </w:pPr>
      <w:r w:rsidRPr="00C56EC3">
        <w:rPr>
          <w:rFonts w:ascii="Times New Roman" w:hAnsi="Times New Roman"/>
          <w:b/>
          <w:bCs/>
          <w:sz w:val="22"/>
          <w:lang w:eastAsia="pt-BR"/>
        </w:rPr>
        <w:t>9</w:t>
      </w:r>
      <w:r w:rsidR="00BF1FEF" w:rsidRPr="00C56EC3">
        <w:rPr>
          <w:rFonts w:ascii="Times New Roman" w:hAnsi="Times New Roman"/>
          <w:b/>
          <w:bCs/>
          <w:sz w:val="22"/>
          <w:lang w:eastAsia="pt-BR"/>
        </w:rPr>
        <w:t>3ª REUNIÃO PLENÁRIA ORDINÁRIA DO CAU/RS</w:t>
      </w:r>
    </w:p>
    <w:p w:rsidR="00BF1FEF" w:rsidRPr="008D7E43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BF1FEF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BF1FEF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Alvino</w:t>
            </w:r>
            <w:proofErr w:type="spellEnd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Jara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31134D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31134D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31134D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31134D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Márcia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776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13776" w:rsidRPr="001F4616" w:rsidRDefault="00D13776" w:rsidP="00D13776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Vinícius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13776" w:rsidRPr="00124A49" w:rsidRDefault="00D13776" w:rsidP="00D137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Default="00BF1FEF" w:rsidP="00BF1FEF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>Histórico da votação: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AD755E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nº </w:t>
            </w:r>
            <w:r w:rsidR="00AD755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AD755E">
              <w:rPr>
                <w:rFonts w:ascii="Times New Roman" w:hAnsi="Times New Roman"/>
                <w:sz w:val="20"/>
                <w:szCs w:val="20"/>
              </w:rPr>
              <w:t>25/01/2019</w:t>
            </w:r>
          </w:p>
          <w:p w:rsidR="00BF1FEF" w:rsidRPr="00F52774" w:rsidRDefault="00BF1FEF" w:rsidP="007F54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C56EC3" w:rsidRPr="00C56EC3">
              <w:rPr>
                <w:rFonts w:ascii="Times New Roman" w:hAnsi="Times New Roman"/>
                <w:sz w:val="20"/>
                <w:szCs w:val="20"/>
              </w:rPr>
              <w:t>DPO-RS</w:t>
            </w:r>
            <w:r w:rsidR="00C56E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56EC3">
              <w:rPr>
                <w:rFonts w:ascii="Times New Roman" w:hAnsi="Times New Roman"/>
                <w:sz w:val="20"/>
                <w:szCs w:val="20"/>
              </w:rPr>
              <w:t xml:space="preserve">1011/2019 - </w:t>
            </w:r>
            <w:r w:rsidR="00C56EC3" w:rsidRPr="00C56EC3">
              <w:rPr>
                <w:rFonts w:ascii="Times New Roman" w:hAnsi="Times New Roman"/>
                <w:sz w:val="20"/>
                <w:szCs w:val="20"/>
              </w:rPr>
              <w:t>Homologa a composição das Comissões Ordinárias do CAU/RS para 2019.</w:t>
            </w:r>
          </w:p>
          <w:p w:rsidR="00BF1FEF" w:rsidRPr="00F52774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FEF" w:rsidRPr="00F52774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D1377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D13776">
              <w:rPr>
                <w:rFonts w:ascii="Times New Roman" w:hAnsi="Times New Roman"/>
                <w:sz w:val="20"/>
                <w:szCs w:val="20"/>
              </w:rPr>
              <w:t>17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D13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  <w:r w:rsidRPr="00F527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D13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D13776">
              <w:rPr>
                <w:rFonts w:ascii="Times New Roman" w:hAnsi="Times New Roman"/>
                <w:sz w:val="20"/>
                <w:szCs w:val="20"/>
              </w:rPr>
              <w:t>1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DF3E44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BF1FEF" w:rsidRPr="00F52774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Josiane 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52774" w:rsidRDefault="00BF1FEF" w:rsidP="007F5486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F52774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BF1FEF" w:rsidRPr="00CF010E" w:rsidRDefault="00BF1FEF" w:rsidP="00BF1FEF">
      <w:pPr>
        <w:ind w:right="842"/>
        <w:jc w:val="both"/>
        <w:rPr>
          <w:rFonts w:ascii="Times New Roman" w:hAnsi="Times New Roman"/>
          <w:sz w:val="22"/>
        </w:rPr>
      </w:pPr>
    </w:p>
    <w:p w:rsidR="00D213CD" w:rsidRPr="00124A49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124A49" w:rsidSect="00D13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709" w:left="1701" w:header="1418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7CC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7CC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center</wp:align>
          </wp:positionH>
          <wp:positionV relativeFrom="paragraph">
            <wp:posOffset>-904062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BE4"/>
    <w:rsid w:val="00040A86"/>
    <w:rsid w:val="000425B3"/>
    <w:rsid w:val="000527E4"/>
    <w:rsid w:val="00060217"/>
    <w:rsid w:val="000605F6"/>
    <w:rsid w:val="00062599"/>
    <w:rsid w:val="00065201"/>
    <w:rsid w:val="00067264"/>
    <w:rsid w:val="0007234F"/>
    <w:rsid w:val="00090CF7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52F9"/>
    <w:rsid w:val="00170CA0"/>
    <w:rsid w:val="00174A5A"/>
    <w:rsid w:val="001778C5"/>
    <w:rsid w:val="00180FB9"/>
    <w:rsid w:val="001B5148"/>
    <w:rsid w:val="001B5F62"/>
    <w:rsid w:val="001B6FB9"/>
    <w:rsid w:val="001D7A29"/>
    <w:rsid w:val="001E56D2"/>
    <w:rsid w:val="001F61E5"/>
    <w:rsid w:val="00216C06"/>
    <w:rsid w:val="00217CCC"/>
    <w:rsid w:val="00220A16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27D9"/>
    <w:rsid w:val="003945A8"/>
    <w:rsid w:val="003A699B"/>
    <w:rsid w:val="003B4E9A"/>
    <w:rsid w:val="003B79A3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8359D"/>
    <w:rsid w:val="00484713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3BD8"/>
    <w:rsid w:val="00695335"/>
    <w:rsid w:val="006B670F"/>
    <w:rsid w:val="006C14F3"/>
    <w:rsid w:val="006C75E7"/>
    <w:rsid w:val="006D2981"/>
    <w:rsid w:val="006F251A"/>
    <w:rsid w:val="006F4E9B"/>
    <w:rsid w:val="006F6327"/>
    <w:rsid w:val="00731BBD"/>
    <w:rsid w:val="007375FB"/>
    <w:rsid w:val="00740E14"/>
    <w:rsid w:val="00750C46"/>
    <w:rsid w:val="0075194D"/>
    <w:rsid w:val="007560FA"/>
    <w:rsid w:val="0076286B"/>
    <w:rsid w:val="00767157"/>
    <w:rsid w:val="00776B7B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4127"/>
    <w:rsid w:val="0094772A"/>
    <w:rsid w:val="009643CB"/>
    <w:rsid w:val="00974359"/>
    <w:rsid w:val="009B5DB8"/>
    <w:rsid w:val="009C09FF"/>
    <w:rsid w:val="009C55B9"/>
    <w:rsid w:val="009C581F"/>
    <w:rsid w:val="009D0886"/>
    <w:rsid w:val="009E3C4D"/>
    <w:rsid w:val="009E4022"/>
    <w:rsid w:val="009E63C1"/>
    <w:rsid w:val="009F43E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D755E"/>
    <w:rsid w:val="00AE2654"/>
    <w:rsid w:val="00AF0E61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B7EDB"/>
    <w:rsid w:val="00BC73B6"/>
    <w:rsid w:val="00BF1FEF"/>
    <w:rsid w:val="00C038EA"/>
    <w:rsid w:val="00C067DF"/>
    <w:rsid w:val="00C15B9D"/>
    <w:rsid w:val="00C301CA"/>
    <w:rsid w:val="00C3665F"/>
    <w:rsid w:val="00C37B13"/>
    <w:rsid w:val="00C42605"/>
    <w:rsid w:val="00C45812"/>
    <w:rsid w:val="00C56EC3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13776"/>
    <w:rsid w:val="00D15416"/>
    <w:rsid w:val="00D213CD"/>
    <w:rsid w:val="00D24E51"/>
    <w:rsid w:val="00D32E81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5D5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14BC"/>
    <w:rsid w:val="00EA593B"/>
    <w:rsid w:val="00EB1D18"/>
    <w:rsid w:val="00EB2B05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73BFC"/>
    <w:rsid w:val="00F81B82"/>
    <w:rsid w:val="00FA1A43"/>
    <w:rsid w:val="00FB0D35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1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8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F682-88BB-49A1-9AE8-EA677B33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13</cp:revision>
  <cp:lastPrinted>2019-01-30T13:25:00Z</cp:lastPrinted>
  <dcterms:created xsi:type="dcterms:W3CDTF">2019-01-15T19:17:00Z</dcterms:created>
  <dcterms:modified xsi:type="dcterms:W3CDTF">2019-01-30T15:52:00Z</dcterms:modified>
</cp:coreProperties>
</file>