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E36657">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bookmarkStart w:id="0" w:name="_GoBack" w:colFirst="1" w:colLast="1"/>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192538" w:rsidRDefault="008F1276" w:rsidP="005E54BA">
            <w:pPr>
              <w:widowControl w:val="0"/>
              <w:rPr>
                <w:rFonts w:ascii="Times New Roman" w:hAnsi="Times New Roman"/>
                <w:bCs/>
                <w:sz w:val="20"/>
                <w:szCs w:val="22"/>
                <w:lang w:eastAsia="pt-BR"/>
              </w:rPr>
            </w:pPr>
            <w:r w:rsidRPr="00192538">
              <w:rPr>
                <w:rFonts w:ascii="Times New Roman" w:hAnsi="Times New Roman"/>
                <w:sz w:val="20"/>
                <w:szCs w:val="22"/>
              </w:rPr>
              <w:t>Plenário do CAU/RS</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192538" w:rsidRDefault="00FA4D1A" w:rsidP="00FA4D1A">
            <w:pPr>
              <w:widowControl w:val="0"/>
              <w:jc w:val="both"/>
              <w:rPr>
                <w:rFonts w:ascii="Times New Roman" w:hAnsi="Times New Roman"/>
                <w:bCs/>
                <w:sz w:val="20"/>
                <w:szCs w:val="22"/>
                <w:lang w:eastAsia="pt-BR"/>
              </w:rPr>
            </w:pPr>
            <w:r w:rsidRPr="00192538">
              <w:rPr>
                <w:rFonts w:ascii="Times New Roman" w:hAnsi="Times New Roman"/>
                <w:sz w:val="20"/>
                <w:szCs w:val="22"/>
                <w:lang w:eastAsia="pt-BR"/>
              </w:rPr>
              <w:t>Encaminha solicitação de esclarecimentos à CEP-CAU/BR acerca da legalidade e da possibilidade de se efetuar o registro e, consequentemente, de se cobrar a contribuições sociais de interesse das categorias profissionais (anuidade) de pessoas jurídicas de direito público ou privado que, embora mantenham seções técnicas de arquitetura e urbanismo, não possuam atividade fim relacionada à profissão.</w:t>
            </w:r>
          </w:p>
        </w:tc>
      </w:tr>
    </w:tbl>
    <w:bookmarkEnd w:id="0"/>
    <w:p w:rsidR="00124A49" w:rsidRPr="00044DD9" w:rsidRDefault="00124A49" w:rsidP="0066336F">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192538">
        <w:rPr>
          <w:rFonts w:ascii="Times New Roman" w:hAnsi="Times New Roman"/>
          <w:sz w:val="22"/>
          <w:szCs w:val="22"/>
          <w:lang w:eastAsia="pt-BR"/>
        </w:rPr>
        <w:t>1004</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66336F" w:rsidRPr="0066336F" w:rsidRDefault="0066336F" w:rsidP="00F8113B">
      <w:pPr>
        <w:tabs>
          <w:tab w:val="left" w:pos="1418"/>
        </w:tabs>
        <w:ind w:left="4820"/>
        <w:jc w:val="both"/>
        <w:rPr>
          <w:rFonts w:ascii="Times New Roman" w:hAnsi="Times New Roman"/>
          <w:sz w:val="20"/>
          <w:szCs w:val="20"/>
        </w:rPr>
      </w:pPr>
    </w:p>
    <w:p w:rsidR="00F8113B" w:rsidRPr="00192538" w:rsidRDefault="00FA4D1A" w:rsidP="00F8113B">
      <w:pPr>
        <w:tabs>
          <w:tab w:val="left" w:pos="1418"/>
        </w:tabs>
        <w:ind w:left="4820"/>
        <w:jc w:val="both"/>
        <w:rPr>
          <w:rFonts w:ascii="Times New Roman" w:hAnsi="Times New Roman"/>
          <w:sz w:val="18"/>
          <w:szCs w:val="20"/>
        </w:rPr>
      </w:pPr>
      <w:r w:rsidRPr="00192538">
        <w:rPr>
          <w:rFonts w:ascii="Times New Roman" w:hAnsi="Times New Roman"/>
          <w:sz w:val="20"/>
          <w:szCs w:val="22"/>
          <w:lang w:eastAsia="pt-BR"/>
        </w:rPr>
        <w:t>Encaminha solicitação de esclarecimentos à CEP-CAU/BR acerca da legalidade e da possibilidade de se efetuar o registro e, consequentemente, de se cobrar a contribuições sociais de interesse das categorias profissionais (anuidade) de pessoas jurídicas de direito público ou privado que, embora mantenham seções técnicas de arquitetura e urbanismo, não possuam atividade fim relacionada à profissão.</w:t>
      </w:r>
    </w:p>
    <w:p w:rsidR="00C4107B" w:rsidRPr="00192538" w:rsidRDefault="00C4107B" w:rsidP="00C4107B">
      <w:pPr>
        <w:tabs>
          <w:tab w:val="left" w:pos="1418"/>
        </w:tabs>
        <w:ind w:left="4820"/>
        <w:jc w:val="both"/>
        <w:rPr>
          <w:rFonts w:ascii="Times New Roman" w:hAnsi="Times New Roman"/>
          <w:sz w:val="18"/>
          <w:szCs w:val="20"/>
        </w:rPr>
      </w:pPr>
    </w:p>
    <w:p w:rsidR="00E36657" w:rsidRPr="0066336F" w:rsidRDefault="00E36657" w:rsidP="00C4107B">
      <w:pPr>
        <w:tabs>
          <w:tab w:val="left" w:pos="1418"/>
        </w:tabs>
        <w:ind w:left="4820"/>
        <w:jc w:val="both"/>
        <w:rPr>
          <w:rFonts w:ascii="Times New Roman" w:hAnsi="Times New Roman"/>
          <w:sz w:val="20"/>
          <w:szCs w:val="20"/>
        </w:rPr>
      </w:pPr>
    </w:p>
    <w:p w:rsidR="00C4107B" w:rsidRPr="00CA75CD" w:rsidRDefault="00C4107B" w:rsidP="00C4107B">
      <w:pPr>
        <w:tabs>
          <w:tab w:val="left" w:pos="1418"/>
        </w:tabs>
        <w:jc w:val="both"/>
        <w:rPr>
          <w:rFonts w:ascii="Times New Roman" w:hAnsi="Times New Roman"/>
          <w:sz w:val="22"/>
          <w:szCs w:val="22"/>
        </w:rPr>
      </w:pPr>
      <w:r w:rsidRPr="00CA75C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CA75CD">
        <w:rPr>
          <w:rFonts w:ascii="Times New Roman" w:hAnsi="Times New Roman"/>
          <w:sz w:val="22"/>
          <w:szCs w:val="22"/>
        </w:rPr>
        <w:t>29,</w:t>
      </w:r>
      <w:r w:rsidRPr="00CA75CD">
        <w:rPr>
          <w:rFonts w:ascii="Times New Roman" w:hAnsi="Times New Roman"/>
          <w:sz w:val="22"/>
          <w:szCs w:val="22"/>
        </w:rPr>
        <w:t xml:space="preserve"> do Regimento Interno do CAU/RS, reunido ordinariamente em Porto Alegre – RS, na sede do CAU/RS, no dia </w:t>
      </w:r>
      <w:r w:rsidR="00CA75CD" w:rsidRPr="00CA75CD">
        <w:rPr>
          <w:rFonts w:ascii="Times New Roman" w:hAnsi="Times New Roman"/>
          <w:sz w:val="22"/>
          <w:szCs w:val="22"/>
        </w:rPr>
        <w:t xml:space="preserve">17 de dezembro </w:t>
      </w:r>
      <w:r w:rsidRPr="00CA75CD">
        <w:rPr>
          <w:rFonts w:ascii="Times New Roman" w:hAnsi="Times New Roman"/>
          <w:sz w:val="22"/>
          <w:szCs w:val="22"/>
        </w:rPr>
        <w:t xml:space="preserve">de 2018; </w:t>
      </w:r>
    </w:p>
    <w:p w:rsidR="00C4107B" w:rsidRPr="00CA75CD" w:rsidRDefault="00C4107B" w:rsidP="00C4107B">
      <w:pPr>
        <w:tabs>
          <w:tab w:val="left" w:pos="1418"/>
        </w:tabs>
        <w:jc w:val="both"/>
        <w:rPr>
          <w:rFonts w:ascii="Times New Roman" w:hAnsi="Times New Roman"/>
          <w:sz w:val="22"/>
          <w:szCs w:val="22"/>
        </w:rPr>
      </w:pPr>
    </w:p>
    <w:p w:rsidR="00FA4D1A" w:rsidRPr="00131702" w:rsidRDefault="00FA4D1A" w:rsidP="00FA4D1A">
      <w:pPr>
        <w:tabs>
          <w:tab w:val="left" w:pos="1418"/>
        </w:tabs>
        <w:jc w:val="both"/>
        <w:rPr>
          <w:rFonts w:ascii="Times New Roman" w:hAnsi="Times New Roman"/>
          <w:sz w:val="22"/>
          <w:szCs w:val="22"/>
        </w:rPr>
      </w:pPr>
      <w:r w:rsidRPr="00131702">
        <w:rPr>
          <w:rFonts w:ascii="Times New Roman" w:hAnsi="Times New Roman"/>
          <w:sz w:val="22"/>
          <w:szCs w:val="22"/>
        </w:rPr>
        <w:t>Considerando que, em conformidade com o art. 149, da Constituição Federal, compete exclusivamente à União instituir contribuições sociais de interesse das categorias profissionais, categoria de tributo na qual se insere a anuidade;</w:t>
      </w:r>
    </w:p>
    <w:p w:rsidR="00FA4D1A" w:rsidRPr="00131702"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sidRPr="00131702">
        <w:rPr>
          <w:rFonts w:ascii="Times New Roman" w:hAnsi="Times New Roman"/>
          <w:sz w:val="22"/>
          <w:szCs w:val="22"/>
        </w:rPr>
        <w:t>Considerando o disposto no art. 1º, da Lei nº 6.839/1980, o qual estabelece que “</w:t>
      </w:r>
      <w:r w:rsidRPr="00131702">
        <w:rPr>
          <w:rFonts w:ascii="Times New Roman" w:hAnsi="Times New Roman"/>
          <w:i/>
          <w:sz w:val="22"/>
          <w:szCs w:val="22"/>
        </w:rPr>
        <w:t>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r w:rsidRPr="00131702">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Pr="00131702" w:rsidRDefault="00FA4D1A" w:rsidP="00FA4D1A">
      <w:pPr>
        <w:tabs>
          <w:tab w:val="left" w:pos="1418"/>
        </w:tabs>
        <w:jc w:val="both"/>
        <w:rPr>
          <w:rFonts w:ascii="Times New Roman" w:hAnsi="Times New Roman"/>
          <w:sz w:val="22"/>
          <w:szCs w:val="22"/>
        </w:rPr>
      </w:pPr>
      <w:r>
        <w:rPr>
          <w:rFonts w:ascii="Times New Roman" w:hAnsi="Times New Roman"/>
          <w:sz w:val="22"/>
          <w:szCs w:val="22"/>
        </w:rPr>
        <w:t xml:space="preserve">Considerando o disposto no art. 97, do Código Tributário Nacional, o qual define que somente a lei pode estabelecer, entre outros: a instituição, a extinção, a majoração e a redução de tributos; a definição do fato gerador da obrigação tributária principal; a definição do sujeito passivo; a fixação de alíquota do tributo e sua base de cálculo; e as hipóteses de </w:t>
      </w:r>
      <w:r w:rsidRPr="00131702">
        <w:rPr>
          <w:rFonts w:ascii="Times New Roman" w:hAnsi="Times New Roman"/>
          <w:sz w:val="22"/>
          <w:szCs w:val="22"/>
        </w:rPr>
        <w:t>exclusão, suspensão e extinção de créditos tributários, ou de dispensa ou redução de penalidades</w:t>
      </w:r>
      <w:r>
        <w:rPr>
          <w:rFonts w:ascii="Times New Roman" w:hAnsi="Times New Roman"/>
          <w:sz w:val="22"/>
          <w:szCs w:val="22"/>
        </w:rPr>
        <w:t>;</w:t>
      </w:r>
    </w:p>
    <w:p w:rsidR="00FA4D1A" w:rsidRPr="00131702"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sidRPr="00131702">
        <w:rPr>
          <w:rFonts w:ascii="Times New Roman" w:hAnsi="Times New Roman"/>
          <w:sz w:val="22"/>
          <w:szCs w:val="22"/>
        </w:rPr>
        <w:t>Considerando que o art. 7º, da Lei nº 12.378/2010, estabelece que “</w:t>
      </w:r>
      <w:r w:rsidRPr="00131702">
        <w:rPr>
          <w:rFonts w:ascii="Times New Roman" w:hAnsi="Times New Roman"/>
          <w:i/>
          <w:sz w:val="22"/>
          <w:szCs w:val="22"/>
        </w:rPr>
        <w:t xml:space="preserve">exerce ilegalmente </w:t>
      </w:r>
      <w:r w:rsidRPr="00726FCB">
        <w:rPr>
          <w:rFonts w:ascii="Times New Roman" w:hAnsi="Times New Roman"/>
          <w:i/>
          <w:sz w:val="22"/>
          <w:szCs w:val="22"/>
        </w:rPr>
        <w:t>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726FCB">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Pr="00726FCB"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o art. 10, da Lei nº 12.378/2010, define que “</w:t>
      </w:r>
      <w:r w:rsidRPr="00726FCB">
        <w:rPr>
          <w:rFonts w:ascii="Times New Roman" w:hAnsi="Times New Roman"/>
          <w:i/>
          <w:sz w:val="22"/>
          <w:szCs w:val="22"/>
        </w:rPr>
        <w:t>os arquitetos e urbanistas, juntamente com outros profissionais, poder-se-ão reunir em sociedade de prestação de serviços de arquitetura e urbanismo, nos termos das normas de direito privado, desta Lei e do Regimento Geral do CAU/BR</w:t>
      </w:r>
      <w:r>
        <w:rPr>
          <w:rFonts w:ascii="Times New Roman" w:hAnsi="Times New Roman"/>
          <w:sz w:val="22"/>
          <w:szCs w:val="22"/>
        </w:rPr>
        <w:t>”, as quais, s</w:t>
      </w:r>
      <w:r w:rsidRPr="00726FCB">
        <w:rPr>
          <w:rFonts w:ascii="Times New Roman" w:hAnsi="Times New Roman"/>
          <w:sz w:val="22"/>
          <w:szCs w:val="22"/>
        </w:rPr>
        <w:t xml:space="preserve">em prejuízo do registro e aprovação pelo órgão competente, </w:t>
      </w:r>
      <w:r>
        <w:rPr>
          <w:rFonts w:ascii="Times New Roman" w:hAnsi="Times New Roman"/>
          <w:sz w:val="22"/>
          <w:szCs w:val="22"/>
        </w:rPr>
        <w:t>devem se “</w:t>
      </w:r>
      <w:r w:rsidRPr="00726FCB">
        <w:rPr>
          <w:rFonts w:ascii="Times New Roman" w:hAnsi="Times New Roman"/>
          <w:i/>
          <w:sz w:val="22"/>
          <w:szCs w:val="22"/>
        </w:rPr>
        <w:t>cadastrar no CAU da sua sede, o qual enviará as informações ao CAU/BR para fins de composição de cadastro unificado nacionalmente</w:t>
      </w:r>
      <w:r w:rsidRPr="00726FCB">
        <w:rPr>
          <w:rFonts w:ascii="Times New Roman" w:hAnsi="Times New Roman"/>
          <w:sz w:val="22"/>
          <w:szCs w:val="22"/>
        </w:rPr>
        <w:t>”;</w:t>
      </w:r>
    </w:p>
    <w:p w:rsidR="00FA4D1A" w:rsidRPr="00726FCB" w:rsidRDefault="00FA4D1A" w:rsidP="00FA4D1A">
      <w:pPr>
        <w:tabs>
          <w:tab w:val="left" w:pos="1418"/>
        </w:tabs>
        <w:jc w:val="both"/>
        <w:rPr>
          <w:rFonts w:ascii="Times New Roman" w:hAnsi="Times New Roman"/>
          <w:sz w:val="22"/>
          <w:szCs w:val="22"/>
        </w:rPr>
      </w:pPr>
    </w:p>
    <w:p w:rsidR="00FA4D1A" w:rsidRPr="00726FCB" w:rsidRDefault="00FA4D1A" w:rsidP="00FA4D1A">
      <w:pPr>
        <w:jc w:val="both"/>
        <w:rPr>
          <w:rFonts w:ascii="Times New Roman" w:hAnsi="Times New Roman"/>
          <w:sz w:val="22"/>
          <w:szCs w:val="22"/>
        </w:rPr>
      </w:pPr>
      <w:r w:rsidRPr="00726FCB">
        <w:rPr>
          <w:rFonts w:ascii="Times New Roman" w:hAnsi="Times New Roman"/>
          <w:sz w:val="22"/>
          <w:szCs w:val="22"/>
        </w:rPr>
        <w:t>Considerando que “</w:t>
      </w:r>
      <w:r w:rsidRPr="00726FCB">
        <w:rPr>
          <w:rFonts w:ascii="Times New Roman" w:hAnsi="Times New Roman"/>
          <w:i/>
          <w:sz w:val="22"/>
          <w:szCs w:val="22"/>
        </w:rPr>
        <w:t xml:space="preserve">o CAU/BR e os </w:t>
      </w:r>
      <w:proofErr w:type="spellStart"/>
      <w:r w:rsidRPr="00726FCB">
        <w:rPr>
          <w:rFonts w:ascii="Times New Roman" w:hAnsi="Times New Roman"/>
          <w:i/>
          <w:sz w:val="22"/>
          <w:szCs w:val="22"/>
        </w:rPr>
        <w:t>CAUs</w:t>
      </w:r>
      <w:proofErr w:type="spellEnd"/>
      <w:r w:rsidRPr="00726FCB">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w:t>
      </w:r>
      <w:r w:rsidRPr="00726FCB">
        <w:rPr>
          <w:rFonts w:ascii="Times New Roman" w:hAnsi="Times New Roman"/>
          <w:i/>
          <w:sz w:val="22"/>
          <w:szCs w:val="22"/>
        </w:rPr>
        <w:lastRenderedPageBreak/>
        <w:t>classe em todo o território nacional, bem como pugnar pelo aperfeiçoamento do exercício da arquitetura e urbanismo</w:t>
      </w:r>
      <w:r w:rsidRPr="00726FCB">
        <w:rPr>
          <w:rFonts w:ascii="Times New Roman" w:hAnsi="Times New Roman"/>
          <w:sz w:val="22"/>
          <w:szCs w:val="22"/>
        </w:rPr>
        <w:t>”, conforme dispõe o art. 24, § 1º, da Lei nº 12.378/2010;</w:t>
      </w:r>
    </w:p>
    <w:p w:rsidR="00FA4D1A" w:rsidRPr="00726FCB" w:rsidRDefault="00FA4D1A" w:rsidP="00FA4D1A">
      <w:pPr>
        <w:tabs>
          <w:tab w:val="left" w:pos="1418"/>
        </w:tabs>
        <w:jc w:val="both"/>
        <w:rPr>
          <w:rFonts w:ascii="Times New Roman" w:hAnsi="Times New Roman"/>
          <w:sz w:val="22"/>
          <w:szCs w:val="22"/>
        </w:rPr>
      </w:pPr>
    </w:p>
    <w:p w:rsidR="00FA4D1A" w:rsidRPr="009745F2"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segundo o art. 34, inciso V, da Lei nº 12.378/2010, compete aos CAUS “</w:t>
      </w:r>
      <w:r w:rsidRPr="00726FCB">
        <w:rPr>
          <w:rFonts w:ascii="Times New Roman" w:hAnsi="Times New Roman"/>
          <w:i/>
          <w:sz w:val="22"/>
          <w:szCs w:val="22"/>
        </w:rPr>
        <w:t xml:space="preserve">realizar as inscrições e expedir as </w:t>
      </w:r>
      <w:r w:rsidRPr="009745F2">
        <w:rPr>
          <w:rFonts w:ascii="Times New Roman" w:hAnsi="Times New Roman"/>
          <w:i/>
          <w:sz w:val="22"/>
          <w:szCs w:val="22"/>
        </w:rPr>
        <w:t>carteiras de identificação de profissionais e pessoas jurídicas habilitadas, na forma desta Lei, para exercerem atividades de arquitetura e urbanismo, mantendo o cadastro atualizado</w:t>
      </w:r>
      <w:r w:rsidRPr="009745F2">
        <w:rPr>
          <w:rFonts w:ascii="Times New Roman" w:hAnsi="Times New Roman"/>
          <w:sz w:val="22"/>
          <w:szCs w:val="22"/>
        </w:rPr>
        <w:t>”;</w:t>
      </w:r>
    </w:p>
    <w:p w:rsidR="00FA4D1A" w:rsidRPr="009745F2" w:rsidRDefault="00FA4D1A" w:rsidP="00FA4D1A">
      <w:pPr>
        <w:tabs>
          <w:tab w:val="left" w:pos="1418"/>
        </w:tabs>
        <w:jc w:val="both"/>
        <w:rPr>
          <w:rFonts w:ascii="Times New Roman" w:hAnsi="Times New Roman"/>
          <w:sz w:val="22"/>
          <w:szCs w:val="22"/>
        </w:rPr>
      </w:pPr>
    </w:p>
    <w:p w:rsidR="00FA4D1A" w:rsidRPr="009745F2" w:rsidRDefault="00FA4D1A" w:rsidP="00FA4D1A">
      <w:pPr>
        <w:tabs>
          <w:tab w:val="left" w:pos="1418"/>
        </w:tabs>
        <w:jc w:val="both"/>
        <w:rPr>
          <w:rFonts w:ascii="Times New Roman" w:hAnsi="Times New Roman"/>
          <w:sz w:val="22"/>
          <w:szCs w:val="22"/>
        </w:rPr>
      </w:pPr>
      <w:r w:rsidRPr="009745F2">
        <w:rPr>
          <w:rFonts w:ascii="Times New Roman" w:hAnsi="Times New Roman"/>
          <w:sz w:val="22"/>
          <w:szCs w:val="22"/>
        </w:rPr>
        <w:t>Considerando que a hipótese de incidência, o fato gerador, a alíquota, a base de cálculo e o sujeito passivo da contribuição social de interesse das categorias profissionais (anuidade) foram instituídos por meio dos artigos 42, 43 e 44, da Lei nº 12.378/2010, que seguem:</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Art. 42. Os profissionais e as pessoas jurídicas inscritas no CAU pagarão anuidade no valor de R$ 350,00 (trezentos e cinquenta reais).</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 1º Os valores das anuidades serão reajustados de acordo com a variação integral do Índice Nacional de Preços ao Consumidor - INPC, calculado pela Fundação Instituto Brasileiro de Geografia e Estatística - IBGE, nos termos de ato do CAU/BR.</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 2º A data de vencimento, as regras de parcelamento e o desconto para pagamento à vista serão estabelecidos pelo CAU/BR.</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 3º Os profissionais formados há menos de 2 (dois) anos e acima de 30 (trinta) anos de formados, pagarão metade do valor da anuidade.</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 4º A anuidade deixará de ser devida após 40 (quarenta) anos de contribuição da pessoa natural.</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Art. 43. A inscrição do profissional ou da pessoa jurídica no CAU não está sujeita ao pagamento de nenhum valor além da anuidade, proporcionalmente ao número de meses restantes no ano.</w:t>
      </w:r>
    </w:p>
    <w:p w:rsidR="00FA4D1A" w:rsidRPr="009745F2" w:rsidRDefault="00FA4D1A" w:rsidP="00FA4D1A">
      <w:pPr>
        <w:tabs>
          <w:tab w:val="left" w:pos="1418"/>
        </w:tabs>
        <w:ind w:left="1134"/>
        <w:jc w:val="both"/>
        <w:rPr>
          <w:rFonts w:ascii="Times New Roman" w:hAnsi="Times New Roman"/>
          <w:i/>
          <w:sz w:val="20"/>
          <w:szCs w:val="22"/>
        </w:rPr>
      </w:pPr>
      <w:r w:rsidRPr="009745F2">
        <w:rPr>
          <w:rFonts w:ascii="Times New Roman" w:hAnsi="Times New Roman"/>
          <w:i/>
          <w:sz w:val="20"/>
          <w:szCs w:val="22"/>
        </w:rPr>
        <w:t>Art. 44. O não pagamento de anuidade no prazo, sem prejuízo da responsabilização pessoal pela violação ética, sujeita o infrator ao pagamento de multa de 20% (vinte por cento) sobre o valor devido e à incidência de correção com base na variação da Taxa Referencial do Sistema Especial de Liquidação e de Custódia - SELIC até o efetivo pagamento.</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 xml:space="preserve">Considerando que o CAU/BR, por meio da Resolução nº 028/2012, ao regulamentar os procedimentos relativos ao registro de pessoa jurídica de arquitetura e urbanismo, definiu, em seu art. 1º, que ficam obrigadas ao registro: </w:t>
      </w:r>
      <w:r w:rsidRPr="009745F2">
        <w:rPr>
          <w:rFonts w:ascii="Times New Roman" w:hAnsi="Times New Roman"/>
          <w:sz w:val="22"/>
          <w:szCs w:val="22"/>
        </w:rPr>
        <w:t>as pessoas jurídicas que tenham por objetivo social o exercício de atividades profissionais privativas</w:t>
      </w:r>
      <w:r>
        <w:rPr>
          <w:rFonts w:ascii="Times New Roman" w:hAnsi="Times New Roman"/>
          <w:sz w:val="22"/>
          <w:szCs w:val="22"/>
        </w:rPr>
        <w:t xml:space="preserve"> </w:t>
      </w:r>
      <w:r w:rsidRPr="009745F2">
        <w:rPr>
          <w:rFonts w:ascii="Times New Roman" w:hAnsi="Times New Roman"/>
          <w:sz w:val="22"/>
          <w:szCs w:val="22"/>
        </w:rPr>
        <w:t>de arquitetos e urbanistas;</w:t>
      </w:r>
      <w:r>
        <w:rPr>
          <w:rFonts w:ascii="Times New Roman" w:hAnsi="Times New Roman"/>
          <w:sz w:val="22"/>
          <w:szCs w:val="22"/>
        </w:rPr>
        <w:t xml:space="preserve"> </w:t>
      </w:r>
      <w:r w:rsidRPr="009745F2">
        <w:rPr>
          <w:rFonts w:ascii="Times New Roman" w:hAnsi="Times New Roman"/>
          <w:sz w:val="22"/>
          <w:szCs w:val="22"/>
        </w:rPr>
        <w:t>as pessoas jurídicas que tenham em seus objetivos sociais o exercício de atividades privativas de</w:t>
      </w:r>
      <w:r>
        <w:rPr>
          <w:rFonts w:ascii="Times New Roman" w:hAnsi="Times New Roman"/>
          <w:sz w:val="22"/>
          <w:szCs w:val="22"/>
        </w:rPr>
        <w:t xml:space="preserve"> a</w:t>
      </w:r>
      <w:r w:rsidRPr="009745F2">
        <w:rPr>
          <w:rFonts w:ascii="Times New Roman" w:hAnsi="Times New Roman"/>
          <w:sz w:val="22"/>
          <w:szCs w:val="22"/>
        </w:rPr>
        <w:t>rquitetos e urbanistas cumulativamente com atividades em outras áreas profissionais não vinculadas ao</w:t>
      </w:r>
      <w:r>
        <w:rPr>
          <w:rFonts w:ascii="Times New Roman" w:hAnsi="Times New Roman"/>
          <w:sz w:val="22"/>
          <w:szCs w:val="22"/>
        </w:rPr>
        <w:t xml:space="preserve"> </w:t>
      </w:r>
      <w:r w:rsidRPr="009745F2">
        <w:rPr>
          <w:rFonts w:ascii="Times New Roman" w:hAnsi="Times New Roman"/>
          <w:sz w:val="22"/>
          <w:szCs w:val="22"/>
        </w:rPr>
        <w:t>Conselho de Arquitetura e Urbanismo;</w:t>
      </w:r>
      <w:r>
        <w:rPr>
          <w:rFonts w:ascii="Times New Roman" w:hAnsi="Times New Roman"/>
          <w:sz w:val="22"/>
          <w:szCs w:val="22"/>
        </w:rPr>
        <w:t xml:space="preserve"> e</w:t>
      </w:r>
      <w:r w:rsidRPr="009745F2">
        <w:rPr>
          <w:rFonts w:ascii="Times New Roman" w:hAnsi="Times New Roman"/>
          <w:sz w:val="22"/>
          <w:szCs w:val="22"/>
        </w:rPr>
        <w:t xml:space="preserve"> as pessoas jurídicas que tenham em seus objetivos sociais o exercício de atividades de arquitetos e</w:t>
      </w:r>
      <w:r>
        <w:rPr>
          <w:rFonts w:ascii="Times New Roman" w:hAnsi="Times New Roman"/>
          <w:sz w:val="22"/>
          <w:szCs w:val="22"/>
        </w:rPr>
        <w:t xml:space="preserve"> </w:t>
      </w:r>
      <w:r w:rsidRPr="009745F2">
        <w:rPr>
          <w:rFonts w:ascii="Times New Roman" w:hAnsi="Times New Roman"/>
          <w:sz w:val="22"/>
          <w:szCs w:val="22"/>
        </w:rPr>
        <w:t>urbanistas compartilhadas com outras áreas profissionais, cujo responsável técnico seja arquiteto e</w:t>
      </w:r>
      <w:r>
        <w:rPr>
          <w:rFonts w:ascii="Times New Roman" w:hAnsi="Times New Roman"/>
          <w:sz w:val="22"/>
          <w:szCs w:val="22"/>
        </w:rPr>
        <w:t xml:space="preserve"> urbanista;</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o art. 1º, § 1º, da Resolução CAU/BR nº 028/2012, estabeleceu que “</w:t>
      </w:r>
      <w:r>
        <w:rPr>
          <w:rFonts w:ascii="Times New Roman" w:hAnsi="Times New Roman"/>
          <w:i/>
          <w:sz w:val="22"/>
          <w:szCs w:val="22"/>
        </w:rPr>
        <w:t>o</w:t>
      </w:r>
      <w:r w:rsidRPr="009745F2">
        <w:rPr>
          <w:rFonts w:ascii="Times New Roman" w:hAnsi="Times New Roman"/>
          <w:i/>
          <w:sz w:val="22"/>
          <w:szCs w:val="22"/>
        </w:rPr>
        <w:t xml:space="preserve"> requerimento de registro de pessoa jurídica no CAU/UF somente será deferido se os objetivos sociais da mesma forem compatíveis com as atividades, atribuições e campos de atuação profissional da Arquitetura e Urbanismo</w:t>
      </w:r>
      <w:r>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o art. 5º, da Resolução CAU/BR nº 028/2012, definiu que o</w:t>
      </w:r>
      <w:r w:rsidRPr="009745F2">
        <w:rPr>
          <w:rFonts w:ascii="Times New Roman" w:hAnsi="Times New Roman"/>
          <w:sz w:val="22"/>
          <w:szCs w:val="22"/>
        </w:rPr>
        <w:t xml:space="preserve"> registro inicial de pessoa jurídica deverá ser requerido por meio do preenchimento de</w:t>
      </w:r>
      <w:r>
        <w:rPr>
          <w:rFonts w:ascii="Times New Roman" w:hAnsi="Times New Roman"/>
          <w:sz w:val="22"/>
          <w:szCs w:val="22"/>
        </w:rPr>
        <w:t xml:space="preserve"> </w:t>
      </w:r>
      <w:r w:rsidRPr="009745F2">
        <w:rPr>
          <w:rFonts w:ascii="Times New Roman" w:hAnsi="Times New Roman"/>
          <w:sz w:val="22"/>
          <w:szCs w:val="22"/>
        </w:rPr>
        <w:t>formulário próprio, disponível no SICCAU, ao qual deve ser anexada a seguinte documentação</w:t>
      </w:r>
      <w:r>
        <w:rPr>
          <w:rFonts w:ascii="Times New Roman" w:hAnsi="Times New Roman"/>
          <w:sz w:val="22"/>
          <w:szCs w:val="22"/>
        </w:rPr>
        <w:t xml:space="preserve">: </w:t>
      </w:r>
      <w:r w:rsidRPr="009745F2">
        <w:rPr>
          <w:rFonts w:ascii="Times New Roman" w:hAnsi="Times New Roman"/>
          <w:sz w:val="22"/>
          <w:szCs w:val="22"/>
        </w:rPr>
        <w:t>ato constitutivo, devidamente registrado no órgão competente, incluindo as alterações, ou se for o</w:t>
      </w:r>
      <w:r>
        <w:rPr>
          <w:rFonts w:ascii="Times New Roman" w:hAnsi="Times New Roman"/>
          <w:sz w:val="22"/>
          <w:szCs w:val="22"/>
        </w:rPr>
        <w:t xml:space="preserve"> </w:t>
      </w:r>
      <w:r w:rsidRPr="009745F2">
        <w:rPr>
          <w:rFonts w:ascii="Times New Roman" w:hAnsi="Times New Roman"/>
          <w:sz w:val="22"/>
          <w:szCs w:val="22"/>
        </w:rPr>
        <w:t xml:space="preserve">caso, a consolidação e as alterações posteriores; comprovante de inscrição no Cadastro Nacional de Pessoas Jurídicas (CNPJ); </w:t>
      </w:r>
      <w:r>
        <w:rPr>
          <w:rFonts w:ascii="Times New Roman" w:hAnsi="Times New Roman"/>
          <w:sz w:val="22"/>
          <w:szCs w:val="22"/>
        </w:rPr>
        <w:t xml:space="preserve">e </w:t>
      </w:r>
      <w:r w:rsidRPr="009745F2">
        <w:rPr>
          <w:rFonts w:ascii="Times New Roman" w:hAnsi="Times New Roman"/>
          <w:sz w:val="22"/>
          <w:szCs w:val="22"/>
        </w:rPr>
        <w:t>Registro de Responsabilidade Técnica (RRT) de Cargo ou Função do arquiteto e urbanista indicado</w:t>
      </w:r>
      <w:r>
        <w:rPr>
          <w:rFonts w:ascii="Times New Roman" w:hAnsi="Times New Roman"/>
          <w:sz w:val="22"/>
          <w:szCs w:val="22"/>
        </w:rPr>
        <w:t xml:space="preserve"> como responsável técnico;</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o art. 7º, da Resolução CAU/BR nº 028/2012, instituiu que o</w:t>
      </w:r>
      <w:r w:rsidRPr="009745F2">
        <w:rPr>
          <w:rFonts w:ascii="Times New Roman" w:hAnsi="Times New Roman"/>
          <w:sz w:val="22"/>
          <w:szCs w:val="22"/>
        </w:rPr>
        <w:t xml:space="preserve"> </w:t>
      </w:r>
      <w:r w:rsidRPr="00831D80">
        <w:rPr>
          <w:rFonts w:ascii="Times New Roman" w:hAnsi="Times New Roman"/>
          <w:sz w:val="22"/>
          <w:szCs w:val="22"/>
        </w:rPr>
        <w:t>processo de registro de pessoa jurídica será submetido à avaliação do CAU/UF que, no prazo</w:t>
      </w:r>
      <w:r>
        <w:rPr>
          <w:rFonts w:ascii="Times New Roman" w:hAnsi="Times New Roman"/>
          <w:sz w:val="22"/>
          <w:szCs w:val="22"/>
        </w:rPr>
        <w:t xml:space="preserve"> </w:t>
      </w:r>
      <w:r w:rsidRPr="00831D80">
        <w:rPr>
          <w:rFonts w:ascii="Times New Roman" w:hAnsi="Times New Roman"/>
          <w:sz w:val="22"/>
          <w:szCs w:val="22"/>
        </w:rPr>
        <w:t>de 30 (trinta) dias, deverá: deferir o registro, se a requerente atender aos dispositivos da Lei n° 12.378</w:t>
      </w:r>
      <w:r>
        <w:rPr>
          <w:rFonts w:ascii="Times New Roman" w:hAnsi="Times New Roman"/>
          <w:sz w:val="22"/>
          <w:szCs w:val="22"/>
        </w:rPr>
        <w:t>/</w:t>
      </w:r>
      <w:r w:rsidRPr="00831D80">
        <w:rPr>
          <w:rFonts w:ascii="Times New Roman" w:hAnsi="Times New Roman"/>
          <w:sz w:val="22"/>
          <w:szCs w:val="22"/>
        </w:rPr>
        <w:t>2010 e desta</w:t>
      </w:r>
      <w:r>
        <w:rPr>
          <w:rFonts w:ascii="Times New Roman" w:hAnsi="Times New Roman"/>
          <w:sz w:val="22"/>
          <w:szCs w:val="22"/>
        </w:rPr>
        <w:t xml:space="preserve"> </w:t>
      </w:r>
      <w:r w:rsidRPr="00831D80">
        <w:rPr>
          <w:rFonts w:ascii="Times New Roman" w:hAnsi="Times New Roman"/>
          <w:sz w:val="22"/>
          <w:szCs w:val="22"/>
        </w:rPr>
        <w:t>Resolução; promover diligências para saneamento de pendências, concedendo prazo de 10 (dez) dias para</w:t>
      </w:r>
      <w:r>
        <w:rPr>
          <w:rFonts w:ascii="Times New Roman" w:hAnsi="Times New Roman"/>
          <w:sz w:val="22"/>
          <w:szCs w:val="22"/>
        </w:rPr>
        <w:t xml:space="preserve"> </w:t>
      </w:r>
      <w:r w:rsidRPr="00831D80">
        <w:rPr>
          <w:rFonts w:ascii="Times New Roman" w:hAnsi="Times New Roman"/>
          <w:sz w:val="22"/>
          <w:szCs w:val="22"/>
        </w:rPr>
        <w:t>manifestação da requerente;</w:t>
      </w:r>
      <w:r>
        <w:rPr>
          <w:rFonts w:ascii="Times New Roman" w:hAnsi="Times New Roman"/>
          <w:sz w:val="22"/>
          <w:szCs w:val="22"/>
        </w:rPr>
        <w:t xml:space="preserve"> ou</w:t>
      </w:r>
      <w:r w:rsidRPr="00831D80">
        <w:rPr>
          <w:rFonts w:ascii="Times New Roman" w:hAnsi="Times New Roman"/>
          <w:sz w:val="22"/>
          <w:szCs w:val="22"/>
        </w:rPr>
        <w:t xml:space="preserve"> indeferir o registro, quando ficar co</w:t>
      </w:r>
      <w:r>
        <w:rPr>
          <w:rFonts w:ascii="Times New Roman" w:hAnsi="Times New Roman"/>
          <w:sz w:val="22"/>
          <w:szCs w:val="22"/>
        </w:rPr>
        <w:t>nfigurada a sua impossibilidade;</w:t>
      </w:r>
    </w:p>
    <w:p w:rsidR="00FA4D1A" w:rsidRDefault="00FA4D1A" w:rsidP="00FA4D1A">
      <w:pPr>
        <w:tabs>
          <w:tab w:val="left" w:pos="1418"/>
        </w:tabs>
        <w:jc w:val="both"/>
        <w:rPr>
          <w:rFonts w:ascii="Times New Roman" w:hAnsi="Times New Roman"/>
          <w:sz w:val="22"/>
          <w:szCs w:val="22"/>
        </w:rPr>
      </w:pPr>
    </w:p>
    <w:p w:rsidR="00FA4D1A" w:rsidRPr="00831D80"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o art. 20, da Resolução CAU/BR nº 028/2012, estabeleceu que “</w:t>
      </w:r>
      <w:r w:rsidRPr="00831D80">
        <w:rPr>
          <w:rFonts w:ascii="Times New Roman" w:hAnsi="Times New Roman"/>
          <w:i/>
          <w:sz w:val="22"/>
          <w:szCs w:val="22"/>
        </w:rPr>
        <w:t xml:space="preserve">a pessoa jurídica que, na forma de seus atos constitutivos ou em razão do objeto social ou das atividades efetivamente </w:t>
      </w:r>
      <w:r w:rsidRPr="00831D80">
        <w:rPr>
          <w:rFonts w:ascii="Times New Roman" w:hAnsi="Times New Roman"/>
          <w:i/>
          <w:sz w:val="22"/>
          <w:szCs w:val="22"/>
        </w:rPr>
        <w:lastRenderedPageBreak/>
        <w:t>desenvolvidas, mantenha seção técnica por meio da qual preste ou execute, para si ou para terceiros, obras ou serviços técnicos que se enquadrem nas atividades, atribuições ou campos de atuação profissional da Arquitetura e Urbanismo, está obrigada ao registro da referida seção no CAU/UF da localidade da sua sede</w:t>
      </w:r>
      <w:r>
        <w:rPr>
          <w:rFonts w:ascii="Times New Roman" w:hAnsi="Times New Roman"/>
          <w:sz w:val="22"/>
          <w:szCs w:val="22"/>
        </w:rPr>
        <w:t>” e definiu que “</w:t>
      </w:r>
      <w:r w:rsidRPr="00831D80">
        <w:rPr>
          <w:rFonts w:ascii="Times New Roman" w:hAnsi="Times New Roman"/>
          <w:i/>
          <w:sz w:val="22"/>
          <w:szCs w:val="22"/>
        </w:rPr>
        <w:t>enquadram-se na situação deste artigo as seções técnicas das pessoas jurídicas de direito privado e das de direito público, dos órgãos da administração direta, das autarquias e das fundações que desenvolvam atividades privativas de arquitetos e urbanistas ou compartilhadas entre estes e outras profissões regulamentadas, no caso de terem entre seus responsáveis técnicos arquitetos e urbanistas</w:t>
      </w:r>
      <w:r>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em conformidade com o art. 21, da Resolução CAU/BR nº 028/2012, o</w:t>
      </w:r>
      <w:r w:rsidRPr="00831D80">
        <w:rPr>
          <w:rFonts w:ascii="Times New Roman" w:hAnsi="Times New Roman"/>
          <w:sz w:val="22"/>
          <w:szCs w:val="22"/>
        </w:rPr>
        <w:t xml:space="preserve"> registro de seção técnica deverá ser requerido por</w:t>
      </w:r>
      <w:r>
        <w:rPr>
          <w:rFonts w:ascii="Times New Roman" w:hAnsi="Times New Roman"/>
          <w:sz w:val="22"/>
          <w:szCs w:val="22"/>
        </w:rPr>
        <w:t xml:space="preserve"> </w:t>
      </w:r>
      <w:r w:rsidRPr="00831D80">
        <w:rPr>
          <w:rFonts w:ascii="Times New Roman" w:hAnsi="Times New Roman"/>
          <w:sz w:val="22"/>
          <w:szCs w:val="22"/>
        </w:rPr>
        <w:t>meio do preenchimento de formulário próprio, disponível no SICCAU, ao qual deve ser anexada a</w:t>
      </w:r>
      <w:r>
        <w:rPr>
          <w:rFonts w:ascii="Times New Roman" w:hAnsi="Times New Roman"/>
          <w:sz w:val="22"/>
          <w:szCs w:val="22"/>
        </w:rPr>
        <w:t xml:space="preserve"> </w:t>
      </w:r>
      <w:r w:rsidRPr="00831D80">
        <w:rPr>
          <w:rFonts w:ascii="Times New Roman" w:hAnsi="Times New Roman"/>
          <w:sz w:val="22"/>
          <w:szCs w:val="22"/>
        </w:rPr>
        <w:t>seguinte documentação:</w:t>
      </w:r>
      <w:r>
        <w:rPr>
          <w:rFonts w:ascii="Times New Roman" w:hAnsi="Times New Roman"/>
          <w:sz w:val="22"/>
          <w:szCs w:val="22"/>
        </w:rPr>
        <w:t xml:space="preserve"> </w:t>
      </w:r>
      <w:r w:rsidRPr="00831D80">
        <w:rPr>
          <w:rFonts w:ascii="Times New Roman" w:hAnsi="Times New Roman"/>
          <w:sz w:val="22"/>
          <w:szCs w:val="22"/>
        </w:rPr>
        <w:t>ato constitutivo da pessoa jurídica e, se houver, da seção técnica; comprovante de inscrição no Cadastro Nacional de Pessoas Jurídicas (CNPJ) da pessoa jurídica a que</w:t>
      </w:r>
      <w:r>
        <w:rPr>
          <w:rFonts w:ascii="Times New Roman" w:hAnsi="Times New Roman"/>
          <w:sz w:val="22"/>
          <w:szCs w:val="22"/>
        </w:rPr>
        <w:t xml:space="preserve"> </w:t>
      </w:r>
      <w:r w:rsidRPr="00831D80">
        <w:rPr>
          <w:rFonts w:ascii="Times New Roman" w:hAnsi="Times New Roman"/>
          <w:sz w:val="22"/>
          <w:szCs w:val="22"/>
        </w:rPr>
        <w:t>a seção técnica se vincula;</w:t>
      </w:r>
      <w:r>
        <w:rPr>
          <w:rFonts w:ascii="Times New Roman" w:hAnsi="Times New Roman"/>
          <w:sz w:val="22"/>
          <w:szCs w:val="22"/>
        </w:rPr>
        <w:t xml:space="preserve"> e </w:t>
      </w:r>
      <w:r w:rsidRPr="00831D80">
        <w:rPr>
          <w:rFonts w:ascii="Times New Roman" w:hAnsi="Times New Roman"/>
          <w:sz w:val="22"/>
          <w:szCs w:val="22"/>
        </w:rPr>
        <w:t>Registro de Responsabilidade Técnica (RRT) de Cargo ou Função do responsável técnico pela seção</w:t>
      </w:r>
      <w:r>
        <w:rPr>
          <w:rFonts w:ascii="Times New Roman" w:hAnsi="Times New Roman"/>
          <w:sz w:val="22"/>
          <w:szCs w:val="22"/>
        </w:rPr>
        <w:t xml:space="preserve"> técnica;</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pelo disposto no art. 29, da Resolução CAU/BR nº 028/2012, “u</w:t>
      </w:r>
      <w:r w:rsidRPr="00831D80">
        <w:rPr>
          <w:rFonts w:ascii="Times New Roman" w:hAnsi="Times New Roman"/>
          <w:i/>
          <w:sz w:val="22"/>
          <w:szCs w:val="22"/>
        </w:rPr>
        <w:t>ma vez deferido o registro das pessoas jurídicas tratadas nesta Resolução, essas, antes do início de suas atividades, deverão efetuar junto ao CAU/UF o pagamento da anuidade do exercício corrente</w:t>
      </w:r>
      <w:r>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o disposto no art. 30, da Resolução CAU/BR nº 028/2012, o qual define que “</w:t>
      </w:r>
      <w:r w:rsidRPr="00831D80">
        <w:rPr>
          <w:rFonts w:ascii="Times New Roman" w:hAnsi="Times New Roman"/>
          <w:i/>
          <w:sz w:val="22"/>
          <w:szCs w:val="22"/>
        </w:rPr>
        <w:t>a pessoa jurídica registrada no CAU/UF fica sujeita aos regimes de anuidades, taxas e multas</w:t>
      </w:r>
      <w:r>
        <w:rPr>
          <w:rFonts w:ascii="Times New Roman" w:hAnsi="Times New Roman"/>
          <w:i/>
          <w:sz w:val="22"/>
          <w:szCs w:val="22"/>
        </w:rPr>
        <w:t xml:space="preserve"> </w:t>
      </w:r>
      <w:r w:rsidRPr="00831D80">
        <w:rPr>
          <w:rFonts w:ascii="Times New Roman" w:hAnsi="Times New Roman"/>
          <w:i/>
          <w:sz w:val="22"/>
          <w:szCs w:val="22"/>
        </w:rPr>
        <w:t>fixados em normas próprias do CAU/BR</w:t>
      </w:r>
      <w:r>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aparentemente, o registro de seção técnica não encontra suporte na Lei nº 12.378/2010, haja vista que esta, no mínimo, não possui personalidade jurídica própria;</w:t>
      </w:r>
    </w:p>
    <w:p w:rsidR="00FA4D1A" w:rsidRDefault="00FA4D1A" w:rsidP="00FA4D1A">
      <w:pPr>
        <w:tabs>
          <w:tab w:val="left" w:pos="1418"/>
        </w:tabs>
        <w:jc w:val="both"/>
        <w:rPr>
          <w:rFonts w:ascii="Times New Roman" w:hAnsi="Times New Roman"/>
          <w:sz w:val="22"/>
          <w:szCs w:val="22"/>
        </w:rPr>
      </w:pPr>
    </w:p>
    <w:p w:rsidR="00FA4D1A" w:rsidRPr="002B776B" w:rsidRDefault="00FA4D1A" w:rsidP="00FA4D1A">
      <w:pPr>
        <w:tabs>
          <w:tab w:val="left" w:pos="1418"/>
        </w:tabs>
        <w:jc w:val="both"/>
        <w:rPr>
          <w:rFonts w:ascii="Times New Roman" w:hAnsi="Times New Roman"/>
          <w:sz w:val="22"/>
          <w:szCs w:val="22"/>
        </w:rPr>
      </w:pPr>
      <w:r>
        <w:rPr>
          <w:rFonts w:ascii="Times New Roman" w:hAnsi="Times New Roman"/>
          <w:sz w:val="22"/>
          <w:szCs w:val="22"/>
        </w:rPr>
        <w:t xml:space="preserve">Considerando que, efetuado o registro, será obrigatória a cobrança do tributo anuidade das pessoas jurídicas que </w:t>
      </w:r>
      <w:r w:rsidRPr="002B776B">
        <w:rPr>
          <w:rFonts w:ascii="Times New Roman" w:hAnsi="Times New Roman"/>
          <w:sz w:val="22"/>
          <w:szCs w:val="22"/>
        </w:rPr>
        <w:t>mantenha</w:t>
      </w:r>
      <w:r>
        <w:rPr>
          <w:rFonts w:ascii="Times New Roman" w:hAnsi="Times New Roman"/>
          <w:sz w:val="22"/>
          <w:szCs w:val="22"/>
        </w:rPr>
        <w:t>m</w:t>
      </w:r>
      <w:r w:rsidRPr="002B776B">
        <w:rPr>
          <w:rFonts w:ascii="Times New Roman" w:hAnsi="Times New Roman"/>
          <w:sz w:val="22"/>
          <w:szCs w:val="22"/>
        </w:rPr>
        <w:t xml:space="preserve"> seç</w:t>
      </w:r>
      <w:r>
        <w:rPr>
          <w:rFonts w:ascii="Times New Roman" w:hAnsi="Times New Roman"/>
          <w:sz w:val="22"/>
          <w:szCs w:val="22"/>
        </w:rPr>
        <w:t>ões</w:t>
      </w:r>
      <w:r w:rsidRPr="002B776B">
        <w:rPr>
          <w:rFonts w:ascii="Times New Roman" w:hAnsi="Times New Roman"/>
          <w:sz w:val="22"/>
          <w:szCs w:val="22"/>
        </w:rPr>
        <w:t xml:space="preserve"> técnica</w:t>
      </w:r>
      <w:r>
        <w:rPr>
          <w:rFonts w:ascii="Times New Roman" w:hAnsi="Times New Roman"/>
          <w:sz w:val="22"/>
          <w:szCs w:val="22"/>
        </w:rPr>
        <w:t xml:space="preserve">s de </w:t>
      </w:r>
      <w:r w:rsidRPr="002B776B">
        <w:rPr>
          <w:rFonts w:ascii="Times New Roman" w:hAnsi="Times New Roman"/>
          <w:sz w:val="22"/>
          <w:szCs w:val="22"/>
        </w:rPr>
        <w:t>arquitetura e urbanismo, pois somente a lei pode estabelecer as hipóteses de exclusão, suspensão e extinção de créditos tributários, conforme o disposto no art. 97, inciso V, do Código Tributário Nacional, sob pena de se configurar renúncia ilegal de receita;</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a CEP-CAU/BR, por meio da Deliberação nº 032/2016, manifestou-se no sentido de que “</w:t>
      </w:r>
      <w:r w:rsidRPr="00236679">
        <w:rPr>
          <w:rFonts w:ascii="Times New Roman" w:hAnsi="Times New Roman"/>
          <w:i/>
          <w:sz w:val="22"/>
          <w:szCs w:val="22"/>
        </w:rPr>
        <w:t>as Seções Técnicas das Pessoas Jurídicas de Direito Público não estão sujeitas ao pagamento de anuidades ao Conselho de Arquitetura e Urbanismo</w:t>
      </w:r>
      <w:r>
        <w:rPr>
          <w:rFonts w:ascii="Times New Roman" w:hAnsi="Times New Roman"/>
          <w:sz w:val="22"/>
          <w:szCs w:val="22"/>
        </w:rPr>
        <w:t>”;</w:t>
      </w:r>
    </w:p>
    <w:p w:rsidR="00FA4D1A" w:rsidRDefault="00FA4D1A" w:rsidP="00FA4D1A">
      <w:pPr>
        <w:tabs>
          <w:tab w:val="left" w:pos="1418"/>
        </w:tabs>
        <w:jc w:val="both"/>
        <w:rPr>
          <w:rFonts w:ascii="Times New Roman" w:hAnsi="Times New Roman"/>
          <w:sz w:val="22"/>
          <w:szCs w:val="22"/>
        </w:rPr>
      </w:pPr>
    </w:p>
    <w:p w:rsidR="00FA4D1A" w:rsidRDefault="00FA4D1A" w:rsidP="00FA4D1A">
      <w:pPr>
        <w:tabs>
          <w:tab w:val="left" w:pos="1418"/>
        </w:tabs>
        <w:jc w:val="both"/>
        <w:rPr>
          <w:rFonts w:ascii="Times New Roman" w:hAnsi="Times New Roman"/>
          <w:sz w:val="22"/>
          <w:szCs w:val="22"/>
        </w:rPr>
      </w:pPr>
      <w:r>
        <w:rPr>
          <w:rFonts w:ascii="Times New Roman" w:hAnsi="Times New Roman"/>
          <w:sz w:val="22"/>
          <w:szCs w:val="22"/>
        </w:rPr>
        <w:t>Considerando que a CEP-CAU/BR, por meio da Deliberação nº 088/2017, solicitou a implantação no SICCAU – SERVIÇOS ONLINE da função de “</w:t>
      </w:r>
      <w:r w:rsidRPr="00770236">
        <w:rPr>
          <w:rFonts w:ascii="Times New Roman" w:hAnsi="Times New Roman"/>
          <w:i/>
          <w:sz w:val="22"/>
          <w:szCs w:val="22"/>
        </w:rPr>
        <w:t>solicitar cadastro das seções técnicas</w:t>
      </w:r>
      <w:r>
        <w:rPr>
          <w:rFonts w:ascii="Times New Roman" w:hAnsi="Times New Roman"/>
          <w:sz w:val="22"/>
          <w:szCs w:val="22"/>
        </w:rPr>
        <w:t>”, para as pessoas jurídicas de direito público ou privado, nos moldes e critérios da função existente de “</w:t>
      </w:r>
      <w:r w:rsidRPr="00770236">
        <w:rPr>
          <w:rFonts w:ascii="Times New Roman" w:hAnsi="Times New Roman"/>
          <w:i/>
          <w:sz w:val="22"/>
          <w:szCs w:val="22"/>
        </w:rPr>
        <w:t>solicitar registro de empresa</w:t>
      </w:r>
      <w:r>
        <w:rPr>
          <w:rFonts w:ascii="Times New Roman" w:hAnsi="Times New Roman"/>
          <w:sz w:val="22"/>
          <w:szCs w:val="22"/>
        </w:rPr>
        <w:t>”;</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por fim</w:t>
      </w:r>
      <w:r w:rsidR="00FA4D1A">
        <w:rPr>
          <w:rFonts w:ascii="Times New Roman" w:hAnsi="Times New Roman"/>
          <w:sz w:val="22"/>
          <w:szCs w:val="22"/>
        </w:rPr>
        <w:t>,</w:t>
      </w:r>
      <w:r w:rsidRPr="00CA75CD">
        <w:rPr>
          <w:rFonts w:ascii="Times New Roman" w:hAnsi="Times New Roman"/>
          <w:sz w:val="22"/>
          <w:szCs w:val="22"/>
        </w:rPr>
        <w:t xml:space="preserve"> a Deliberação nº </w:t>
      </w:r>
      <w:r w:rsidR="00FA4D1A">
        <w:rPr>
          <w:rFonts w:ascii="Times New Roman" w:hAnsi="Times New Roman"/>
          <w:sz w:val="22"/>
          <w:szCs w:val="22"/>
        </w:rPr>
        <w:t>058</w:t>
      </w:r>
      <w:r w:rsidRPr="00CA75CD">
        <w:rPr>
          <w:rFonts w:ascii="Times New Roman" w:hAnsi="Times New Roman"/>
          <w:sz w:val="22"/>
          <w:szCs w:val="22"/>
        </w:rPr>
        <w:t xml:space="preserve">/2018 </w:t>
      </w:r>
      <w:r w:rsidR="00FA4D1A">
        <w:rPr>
          <w:rFonts w:ascii="Times New Roman" w:hAnsi="Times New Roman"/>
          <w:sz w:val="22"/>
          <w:szCs w:val="22"/>
        </w:rPr>
        <w:t xml:space="preserve">- </w:t>
      </w:r>
      <w:r w:rsidR="004C4BF3" w:rsidRPr="00CA75CD">
        <w:rPr>
          <w:rFonts w:ascii="Times New Roman" w:hAnsi="Times New Roman"/>
          <w:sz w:val="22"/>
          <w:szCs w:val="22"/>
        </w:rPr>
        <w:t xml:space="preserve">CEP-CAU/RS que </w:t>
      </w:r>
      <w:r w:rsidR="00FA4D1A">
        <w:rPr>
          <w:rFonts w:ascii="Times New Roman" w:hAnsi="Times New Roman"/>
          <w:sz w:val="22"/>
          <w:szCs w:val="22"/>
        </w:rPr>
        <w:t>solicitou encaminhamento do tema para esclarecimentos do CAU/BR;</w:t>
      </w:r>
    </w:p>
    <w:p w:rsidR="008A6E88" w:rsidRPr="00CA75CD" w:rsidRDefault="008A6E88" w:rsidP="008A6E88">
      <w:pPr>
        <w:jc w:val="both"/>
        <w:rPr>
          <w:rFonts w:ascii="Times New Roman" w:hAnsi="Times New Roman"/>
          <w:sz w:val="22"/>
          <w:szCs w:val="22"/>
          <w:lang w:eastAsia="pt-BR"/>
        </w:rPr>
      </w:pPr>
    </w:p>
    <w:p w:rsidR="00124A49" w:rsidRDefault="00124A49" w:rsidP="00124A49">
      <w:pPr>
        <w:jc w:val="both"/>
        <w:rPr>
          <w:rFonts w:ascii="Times New Roman" w:hAnsi="Times New Roman"/>
          <w:b/>
          <w:sz w:val="22"/>
          <w:szCs w:val="22"/>
          <w:lang w:eastAsia="pt-BR"/>
        </w:rPr>
      </w:pPr>
      <w:r w:rsidRPr="00CA75CD">
        <w:rPr>
          <w:rFonts w:ascii="Times New Roman" w:hAnsi="Times New Roman"/>
          <w:b/>
          <w:sz w:val="22"/>
          <w:szCs w:val="22"/>
          <w:lang w:eastAsia="pt-BR"/>
        </w:rPr>
        <w:t>DELIBEROU</w:t>
      </w:r>
      <w:r w:rsidR="00735D6B" w:rsidRPr="00CA75CD">
        <w:rPr>
          <w:rFonts w:ascii="Times New Roman" w:hAnsi="Times New Roman"/>
          <w:b/>
          <w:sz w:val="22"/>
          <w:szCs w:val="22"/>
          <w:lang w:eastAsia="pt-BR"/>
        </w:rPr>
        <w:t xml:space="preserve"> por</w:t>
      </w:r>
      <w:r w:rsidRPr="00CA75CD">
        <w:rPr>
          <w:rFonts w:ascii="Times New Roman" w:hAnsi="Times New Roman"/>
          <w:b/>
          <w:sz w:val="22"/>
          <w:szCs w:val="22"/>
          <w:lang w:eastAsia="pt-BR"/>
        </w:rPr>
        <w:t>:</w:t>
      </w:r>
    </w:p>
    <w:p w:rsidR="00192538" w:rsidRPr="00CA75CD" w:rsidRDefault="00192538" w:rsidP="00124A49">
      <w:pPr>
        <w:jc w:val="both"/>
        <w:rPr>
          <w:rFonts w:ascii="Times New Roman" w:hAnsi="Times New Roman"/>
          <w:b/>
          <w:sz w:val="22"/>
          <w:szCs w:val="22"/>
          <w:lang w:eastAsia="pt-BR"/>
        </w:rPr>
      </w:pPr>
    </w:p>
    <w:p w:rsidR="00FA4D1A" w:rsidRPr="00FA4D1A" w:rsidRDefault="00FA4D1A" w:rsidP="00FA4D1A">
      <w:pPr>
        <w:pStyle w:val="PargrafodaLista"/>
        <w:numPr>
          <w:ilvl w:val="0"/>
          <w:numId w:val="8"/>
        </w:numPr>
        <w:tabs>
          <w:tab w:val="left" w:pos="851"/>
        </w:tabs>
        <w:contextualSpacing w:val="0"/>
        <w:jc w:val="both"/>
        <w:rPr>
          <w:rFonts w:ascii="Times New Roman" w:hAnsi="Times New Roman"/>
          <w:sz w:val="22"/>
          <w:szCs w:val="22"/>
        </w:rPr>
      </w:pPr>
      <w:r w:rsidRPr="00FA4D1A">
        <w:rPr>
          <w:rFonts w:ascii="Times New Roman" w:hAnsi="Times New Roman"/>
          <w:sz w:val="22"/>
          <w:szCs w:val="22"/>
        </w:rPr>
        <w:t>Encaminhar a presente deliberação à Presidência do CAU/BR solicitando que a CEP-CAU/BR apresente esclarecimentos acerca da legalidade e da possibilidade de se efetuar o registro e, consequentemente, de se cobrar a contribuições sociais de interesse das categorias profissionais (anuidade) de pessoas jurídicas de direito público ou privado que, embora mantenham seções técnicas de arquitetura e urbanismo, não possuam ativid</w:t>
      </w:r>
      <w:r>
        <w:rPr>
          <w:rFonts w:ascii="Times New Roman" w:hAnsi="Times New Roman"/>
          <w:sz w:val="22"/>
          <w:szCs w:val="22"/>
        </w:rPr>
        <w:t>ade fim relacionada à profissão e c</w:t>
      </w:r>
      <w:r w:rsidRPr="00FA4D1A">
        <w:rPr>
          <w:rFonts w:ascii="Times New Roman" w:hAnsi="Times New Roman"/>
          <w:sz w:val="22"/>
          <w:szCs w:val="22"/>
        </w:rPr>
        <w:t>aso entenda que “</w:t>
      </w:r>
      <w:r w:rsidRPr="00FA4D1A">
        <w:rPr>
          <w:rFonts w:ascii="Times New Roman" w:hAnsi="Times New Roman"/>
          <w:i/>
          <w:sz w:val="22"/>
          <w:szCs w:val="22"/>
        </w:rPr>
        <w:t xml:space="preserve">as pessoas jurídicas de direito público (União, Estados e Municípios, Autarquias e Fundações públicas) e suas seções técnicas não estão sujeitas a registro nos conselhos de </w:t>
      </w:r>
      <w:r w:rsidRPr="00FA4D1A">
        <w:rPr>
          <w:rFonts w:ascii="Times New Roman" w:hAnsi="Times New Roman"/>
          <w:i/>
          <w:sz w:val="22"/>
          <w:szCs w:val="22"/>
        </w:rPr>
        <w:lastRenderedPageBreak/>
        <w:t>fiscalização profissional, inclusive no CAU, nem ao pagamento de anuidades</w:t>
      </w:r>
      <w:r w:rsidRPr="00FA4D1A">
        <w:rPr>
          <w:rFonts w:ascii="Times New Roman" w:hAnsi="Times New Roman"/>
          <w:sz w:val="22"/>
          <w:szCs w:val="22"/>
        </w:rPr>
        <w:t>”</w:t>
      </w:r>
      <w:r w:rsidRPr="000C1BED">
        <w:rPr>
          <w:rStyle w:val="Refdenotaderodap"/>
          <w:rFonts w:ascii="Times New Roman" w:hAnsi="Times New Roman"/>
          <w:sz w:val="22"/>
          <w:szCs w:val="22"/>
        </w:rPr>
        <w:footnoteReference w:id="1"/>
      </w:r>
      <w:r w:rsidRPr="00FA4D1A">
        <w:rPr>
          <w:rFonts w:ascii="Times New Roman" w:hAnsi="Times New Roman"/>
          <w:sz w:val="22"/>
          <w:szCs w:val="22"/>
        </w:rPr>
        <w:t>, adote providências no sentido de revogar, imediatamente, o Capítulo IV – Do Registro de Seções Técnicas, da Resolução CAU/BR nº 028/2012, pois a sua permanênc</w:t>
      </w:r>
      <w:r>
        <w:rPr>
          <w:rFonts w:ascii="Times New Roman" w:hAnsi="Times New Roman"/>
          <w:sz w:val="22"/>
          <w:szCs w:val="22"/>
        </w:rPr>
        <w:t>ia gera severo risco aos CAU/UF.</w:t>
      </w:r>
    </w:p>
    <w:p w:rsidR="0066336F" w:rsidRPr="00CA75CD" w:rsidRDefault="0066336F" w:rsidP="0066336F">
      <w:pPr>
        <w:pStyle w:val="PargrafodaLista"/>
        <w:tabs>
          <w:tab w:val="left" w:pos="851"/>
        </w:tabs>
        <w:contextualSpacing w:val="0"/>
        <w:jc w:val="both"/>
        <w:rPr>
          <w:rFonts w:ascii="Times New Roman" w:hAnsi="Times New Roman"/>
          <w:sz w:val="22"/>
          <w:szCs w:val="22"/>
        </w:rPr>
      </w:pPr>
    </w:p>
    <w:p w:rsidR="00124A49" w:rsidRPr="00CA75CD" w:rsidRDefault="00124A49" w:rsidP="00124A49">
      <w:pPr>
        <w:jc w:val="both"/>
        <w:rPr>
          <w:rFonts w:ascii="Times New Roman" w:hAnsi="Times New Roman"/>
          <w:sz w:val="22"/>
          <w:szCs w:val="22"/>
          <w:u w:val="single"/>
          <w:lang w:eastAsia="pt-BR"/>
        </w:rPr>
      </w:pPr>
      <w:r w:rsidRPr="00CA75CD">
        <w:rPr>
          <w:rFonts w:ascii="Times New Roman" w:hAnsi="Times New Roman"/>
          <w:sz w:val="22"/>
          <w:szCs w:val="22"/>
          <w:u w:val="single"/>
          <w:lang w:eastAsia="pt-BR"/>
        </w:rPr>
        <w:t>Esta deliberação entra em vigor na data de sua publicação.</w:t>
      </w:r>
    </w:p>
    <w:p w:rsidR="00124A49" w:rsidRPr="00CA75CD" w:rsidRDefault="00124A49" w:rsidP="00124A49">
      <w:pPr>
        <w:jc w:val="both"/>
        <w:rPr>
          <w:rFonts w:ascii="Times New Roman" w:hAnsi="Times New Roman"/>
          <w:sz w:val="22"/>
          <w:szCs w:val="22"/>
          <w:lang w:eastAsia="pt-BR"/>
        </w:rPr>
      </w:pPr>
    </w:p>
    <w:p w:rsidR="00192538" w:rsidRDefault="00192538" w:rsidP="00192538">
      <w:pPr>
        <w:jc w:val="both"/>
      </w:pPr>
      <w:r w:rsidRPr="00D84EE0">
        <w:rPr>
          <w:rFonts w:ascii="Times New Roman" w:hAnsi="Times New Roman"/>
          <w:sz w:val="22"/>
          <w:szCs w:val="22"/>
          <w:lang w:eastAsia="pt-BR"/>
        </w:rPr>
        <w:t xml:space="preserve">Com </w:t>
      </w:r>
      <w:r w:rsidRPr="00D84EE0">
        <w:rPr>
          <w:rFonts w:ascii="Times New Roman" w:hAnsi="Times New Roman"/>
          <w:b/>
          <w:sz w:val="22"/>
          <w:szCs w:val="22"/>
          <w:lang w:eastAsia="pt-BR"/>
        </w:rPr>
        <w:t>18 (dezoito) votos favoráveis</w:t>
      </w:r>
      <w:r w:rsidRPr="00D84EE0">
        <w:rPr>
          <w:rFonts w:ascii="Times New Roman" w:hAnsi="Times New Roman"/>
          <w:sz w:val="22"/>
          <w:szCs w:val="22"/>
          <w:lang w:eastAsia="pt-BR"/>
        </w:rPr>
        <w:t xml:space="preserve"> dos conselheiros Alvino Jara, Cláudio Fischer, Carlos Santos Pitzer, Helenice Macedo Do Couto, José Arthur Fell, Manoel Joaquim Tostes, Matias Revello Vazquez, Noe Vega Cotta de Mello, Oritz Adriano Adams de Campos, Paulo Fernando do Amaral Fontana, Paulo Ricardo Bregatto, Emilio Merino Dominguez, Raquel Rhoden Bresolin, Roberto Luiz Decó, Maurício Zuchetti, Rômulo Plentz Giralt, Rui Mineiro e Jorge </w:t>
      </w:r>
      <w:proofErr w:type="spellStart"/>
      <w:r w:rsidRPr="00D84EE0">
        <w:rPr>
          <w:rFonts w:ascii="Times New Roman" w:hAnsi="Times New Roman"/>
          <w:sz w:val="22"/>
          <w:szCs w:val="22"/>
          <w:lang w:eastAsia="pt-BR"/>
        </w:rPr>
        <w:t>Luíz</w:t>
      </w:r>
      <w:proofErr w:type="spellEnd"/>
      <w:r w:rsidRPr="00D84EE0">
        <w:rPr>
          <w:rFonts w:ascii="Times New Roman" w:hAnsi="Times New Roman"/>
          <w:sz w:val="22"/>
          <w:szCs w:val="22"/>
          <w:lang w:eastAsia="pt-BR"/>
        </w:rPr>
        <w:t xml:space="preserve"> Stocker Júnior.</w:t>
      </w:r>
    </w:p>
    <w:p w:rsidR="005710BD" w:rsidRDefault="005710BD" w:rsidP="00EE6135">
      <w:pPr>
        <w:jc w:val="both"/>
        <w:rPr>
          <w:rFonts w:ascii="Times New Roman" w:hAnsi="Times New Roman"/>
          <w:sz w:val="22"/>
          <w:szCs w:val="22"/>
          <w:lang w:eastAsia="pt-BR"/>
        </w:rPr>
      </w:pPr>
    </w:p>
    <w:p w:rsidR="00192538" w:rsidRPr="00CA75CD" w:rsidRDefault="00192538" w:rsidP="00EE6135">
      <w:pPr>
        <w:jc w:val="both"/>
        <w:rPr>
          <w:rFonts w:ascii="Times New Roman" w:hAnsi="Times New Roman"/>
          <w:sz w:val="22"/>
          <w:szCs w:val="22"/>
          <w:lang w:eastAsia="pt-BR"/>
        </w:rPr>
      </w:pPr>
    </w:p>
    <w:p w:rsidR="009E3C4D" w:rsidRPr="00CA75CD" w:rsidRDefault="009E3C4D" w:rsidP="00124A49">
      <w:pPr>
        <w:jc w:val="center"/>
        <w:rPr>
          <w:rFonts w:ascii="Times New Roman" w:hAnsi="Times New Roman"/>
          <w:sz w:val="22"/>
          <w:szCs w:val="22"/>
          <w:lang w:eastAsia="pt-BR"/>
        </w:rPr>
      </w:pPr>
    </w:p>
    <w:p w:rsidR="00FA1A43" w:rsidRPr="00CA75CD" w:rsidRDefault="00FA1A43" w:rsidP="00FA1A43">
      <w:pPr>
        <w:jc w:val="center"/>
        <w:rPr>
          <w:rFonts w:ascii="Times New Roman" w:hAnsi="Times New Roman"/>
          <w:sz w:val="22"/>
          <w:szCs w:val="22"/>
          <w:lang w:eastAsia="pt-BR"/>
        </w:rPr>
      </w:pPr>
      <w:r w:rsidRPr="00CA75CD">
        <w:rPr>
          <w:rFonts w:ascii="Times New Roman" w:hAnsi="Times New Roman"/>
          <w:sz w:val="22"/>
          <w:szCs w:val="22"/>
          <w:lang w:eastAsia="pt-BR"/>
        </w:rPr>
        <w:t xml:space="preserve">Porto Alegre – RS, </w:t>
      </w:r>
      <w:r w:rsidR="00CA75CD" w:rsidRPr="00CA75CD">
        <w:rPr>
          <w:rFonts w:ascii="Times New Roman" w:hAnsi="Times New Roman"/>
          <w:sz w:val="22"/>
          <w:szCs w:val="22"/>
          <w:lang w:eastAsia="pt-BR"/>
        </w:rPr>
        <w:t>17</w:t>
      </w:r>
      <w:r w:rsidRPr="00CA75CD">
        <w:rPr>
          <w:rFonts w:ascii="Times New Roman" w:hAnsi="Times New Roman"/>
          <w:sz w:val="22"/>
          <w:szCs w:val="22"/>
          <w:lang w:eastAsia="pt-BR"/>
        </w:rPr>
        <w:t xml:space="preserve"> de </w:t>
      </w:r>
      <w:r w:rsidR="00CA75CD" w:rsidRPr="00CA75CD">
        <w:rPr>
          <w:rFonts w:ascii="Times New Roman" w:hAnsi="Times New Roman"/>
          <w:sz w:val="22"/>
          <w:szCs w:val="22"/>
          <w:lang w:eastAsia="pt-BR"/>
        </w:rPr>
        <w:t>dezembro</w:t>
      </w:r>
      <w:r w:rsidR="0077236B" w:rsidRPr="00CA75CD">
        <w:rPr>
          <w:rFonts w:ascii="Times New Roman" w:hAnsi="Times New Roman"/>
          <w:sz w:val="22"/>
          <w:szCs w:val="22"/>
          <w:lang w:eastAsia="pt-BR"/>
        </w:rPr>
        <w:t xml:space="preserve"> </w:t>
      </w:r>
      <w:r w:rsidRPr="00CA75CD">
        <w:rPr>
          <w:rFonts w:ascii="Times New Roman" w:hAnsi="Times New Roman"/>
          <w:sz w:val="22"/>
          <w:szCs w:val="22"/>
          <w:lang w:eastAsia="pt-BR"/>
        </w:rPr>
        <w:t>de 2018.</w:t>
      </w:r>
    </w:p>
    <w:p w:rsidR="00735D6B" w:rsidRPr="00CA75CD" w:rsidRDefault="00735D6B" w:rsidP="00FA1A43">
      <w:pPr>
        <w:jc w:val="center"/>
        <w:rPr>
          <w:rFonts w:ascii="Times New Roman" w:hAnsi="Times New Roman"/>
          <w:sz w:val="22"/>
          <w:szCs w:val="22"/>
          <w:lang w:eastAsia="pt-BR"/>
        </w:rPr>
      </w:pPr>
    </w:p>
    <w:p w:rsidR="002A1B94" w:rsidRPr="00CA75CD" w:rsidRDefault="002A1B94" w:rsidP="00FA1A43">
      <w:pPr>
        <w:jc w:val="center"/>
        <w:rPr>
          <w:rFonts w:ascii="Times New Roman" w:hAnsi="Times New Roman"/>
          <w:sz w:val="22"/>
          <w:szCs w:val="22"/>
          <w:lang w:eastAsia="pt-BR"/>
        </w:rPr>
      </w:pPr>
    </w:p>
    <w:p w:rsidR="002A1B94" w:rsidRPr="00CA75CD" w:rsidRDefault="002A1B94" w:rsidP="00FA1A43">
      <w:pPr>
        <w:jc w:val="center"/>
        <w:rPr>
          <w:rFonts w:ascii="Times New Roman" w:hAnsi="Times New Roman"/>
          <w:sz w:val="22"/>
          <w:szCs w:val="22"/>
          <w:lang w:eastAsia="pt-BR"/>
        </w:rPr>
      </w:pPr>
    </w:p>
    <w:p w:rsidR="00735D6B" w:rsidRPr="00CA75CD" w:rsidRDefault="00735D6B" w:rsidP="00124A49">
      <w:pPr>
        <w:jc w:val="center"/>
        <w:rPr>
          <w:rFonts w:ascii="Times New Roman" w:hAnsi="Times New Roman"/>
          <w:b/>
          <w:sz w:val="22"/>
          <w:szCs w:val="22"/>
          <w:lang w:eastAsia="pt-BR"/>
        </w:rPr>
      </w:pPr>
    </w:p>
    <w:p w:rsidR="00124A49" w:rsidRPr="00CA75CD" w:rsidRDefault="002D776E" w:rsidP="00124A49">
      <w:pPr>
        <w:jc w:val="center"/>
        <w:rPr>
          <w:rFonts w:ascii="Times New Roman" w:hAnsi="Times New Roman"/>
          <w:b/>
          <w:sz w:val="22"/>
          <w:szCs w:val="22"/>
          <w:lang w:eastAsia="pt-BR"/>
        </w:rPr>
      </w:pPr>
      <w:r w:rsidRPr="00CA75CD">
        <w:rPr>
          <w:rFonts w:ascii="Times New Roman" w:hAnsi="Times New Roman"/>
          <w:b/>
          <w:sz w:val="22"/>
          <w:szCs w:val="22"/>
          <w:lang w:eastAsia="pt-BR"/>
        </w:rPr>
        <w:t>TIAGO HOLZMANN DA SILVA</w:t>
      </w:r>
    </w:p>
    <w:p w:rsidR="00874A65" w:rsidRPr="00CA75CD" w:rsidRDefault="00124A49" w:rsidP="00124A49">
      <w:pPr>
        <w:jc w:val="center"/>
        <w:rPr>
          <w:rFonts w:ascii="Times New Roman" w:hAnsi="Times New Roman"/>
          <w:sz w:val="22"/>
          <w:szCs w:val="22"/>
          <w:lang w:eastAsia="pt-BR"/>
        </w:rPr>
      </w:pPr>
      <w:r w:rsidRPr="00CA75CD">
        <w:rPr>
          <w:rFonts w:ascii="Times New Roman" w:hAnsi="Times New Roman"/>
          <w:sz w:val="22"/>
          <w:szCs w:val="22"/>
          <w:lang w:eastAsia="pt-BR"/>
        </w:rPr>
        <w:t>Presidente do CAU/RS</w:t>
      </w:r>
    </w:p>
    <w:p w:rsidR="00124A49" w:rsidRPr="00CA75CD" w:rsidRDefault="00124A49" w:rsidP="00124A49">
      <w:pPr>
        <w:jc w:val="center"/>
        <w:rPr>
          <w:rFonts w:ascii="Times New Roman" w:hAnsi="Times New Roman"/>
          <w:sz w:val="22"/>
          <w:szCs w:val="22"/>
          <w:lang w:eastAsia="pt-BR"/>
        </w:rPr>
      </w:pPr>
    </w:p>
    <w:p w:rsidR="00124A49" w:rsidRPr="0066336F" w:rsidRDefault="00124A49" w:rsidP="00124A49">
      <w:pPr>
        <w:jc w:val="center"/>
        <w:rPr>
          <w:rFonts w:ascii="Times New Roman" w:hAnsi="Times New Roman"/>
          <w:sz w:val="20"/>
          <w:szCs w:val="20"/>
          <w:lang w:eastAsia="pt-BR"/>
        </w:rPr>
      </w:pPr>
    </w:p>
    <w:p w:rsidR="002A1B94" w:rsidRDefault="002A1B94">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E56097" w:rsidRDefault="00E56097" w:rsidP="00124A49">
      <w:pPr>
        <w:jc w:val="center"/>
        <w:rPr>
          <w:rFonts w:ascii="Times New Roman" w:hAnsi="Times New Roman"/>
          <w:sz w:val="22"/>
          <w:szCs w:val="22"/>
          <w:lang w:eastAsia="pt-BR"/>
        </w:rPr>
      </w:pPr>
    </w:p>
    <w:p w:rsidR="0077236B" w:rsidRPr="000C644F" w:rsidRDefault="0077236B" w:rsidP="0077236B">
      <w:pPr>
        <w:jc w:val="center"/>
        <w:rPr>
          <w:rFonts w:ascii="Times New Roman" w:hAnsi="Times New Roman"/>
          <w:sz w:val="22"/>
          <w:szCs w:val="22"/>
          <w:lang w:eastAsia="pt-BR"/>
        </w:rPr>
      </w:pPr>
      <w:r>
        <w:rPr>
          <w:rFonts w:ascii="Times New Roman" w:hAnsi="Times New Roman"/>
          <w:sz w:val="22"/>
          <w:szCs w:val="22"/>
          <w:lang w:eastAsia="pt-BR"/>
        </w:rPr>
        <w:tab/>
      </w:r>
    </w:p>
    <w:p w:rsidR="0077236B" w:rsidRPr="00FB6C18" w:rsidRDefault="00CA75CD" w:rsidP="0077236B">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92</w:t>
      </w:r>
      <w:r w:rsidR="0077236B" w:rsidRPr="00FB6C18">
        <w:rPr>
          <w:rFonts w:ascii="Times New Roman" w:hAnsi="Times New Roman"/>
          <w:b/>
          <w:bCs/>
          <w:sz w:val="22"/>
          <w:szCs w:val="22"/>
          <w:lang w:eastAsia="pt-BR"/>
        </w:rPr>
        <w:t>ª PLENÁRIA ORDINÁRIA DO CAU/RS</w:t>
      </w:r>
    </w:p>
    <w:p w:rsidR="0077236B" w:rsidRPr="00FB6C18" w:rsidRDefault="0077236B" w:rsidP="0077236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7236B" w:rsidRPr="00FB6C18" w:rsidRDefault="0077236B" w:rsidP="0077236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7236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7236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37178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86465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37178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r w:rsidR="00192538" w:rsidRPr="00FB6C18" w:rsidTr="0037178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192538" w:rsidRPr="00360B8A" w:rsidRDefault="00192538" w:rsidP="00192538">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D73832" w:rsidRDefault="00192538" w:rsidP="0019253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2538" w:rsidRPr="00FB6C18" w:rsidRDefault="00192538" w:rsidP="00192538">
            <w:pPr>
              <w:tabs>
                <w:tab w:val="left" w:pos="1418"/>
              </w:tabs>
              <w:spacing w:line="276" w:lineRule="auto"/>
              <w:jc w:val="center"/>
              <w:rPr>
                <w:rFonts w:ascii="Times New Roman" w:hAnsi="Times New Roman"/>
                <w:sz w:val="22"/>
                <w:szCs w:val="22"/>
              </w:rPr>
            </w:pPr>
          </w:p>
        </w:tc>
      </w:tr>
    </w:tbl>
    <w:p w:rsidR="0077236B" w:rsidRPr="00FB6C18" w:rsidRDefault="0077236B" w:rsidP="00864655">
      <w:pPr>
        <w:tabs>
          <w:tab w:val="left" w:pos="1418"/>
        </w:tabs>
        <w:spacing w:line="360" w:lineRule="auto"/>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77236B" w:rsidRPr="00FB6C18" w:rsidTr="00784FCA">
        <w:trPr>
          <w:trHeight w:val="257"/>
        </w:trPr>
        <w:tc>
          <w:tcPr>
            <w:tcW w:w="9060" w:type="dxa"/>
            <w:gridSpan w:val="2"/>
            <w:shd w:val="clear" w:color="auto" w:fill="D9D9D9"/>
          </w:tcPr>
          <w:p w:rsidR="0077236B" w:rsidRPr="00034170" w:rsidRDefault="00CA75CD" w:rsidP="00864655">
            <w:pPr>
              <w:tabs>
                <w:tab w:val="left" w:pos="1418"/>
              </w:tabs>
              <w:spacing w:line="360" w:lineRule="auto"/>
              <w:jc w:val="both"/>
              <w:rPr>
                <w:rFonts w:ascii="Times New Roman" w:hAnsi="Times New Roman"/>
                <w:sz w:val="20"/>
                <w:szCs w:val="22"/>
              </w:rPr>
            </w:pPr>
            <w:r>
              <w:rPr>
                <w:rFonts w:ascii="Times New Roman" w:hAnsi="Times New Roman"/>
                <w:b/>
                <w:sz w:val="20"/>
                <w:szCs w:val="22"/>
              </w:rPr>
              <w:t>Reunião Plenária Ordinária nº 92</w:t>
            </w:r>
          </w:p>
        </w:tc>
      </w:tr>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Data: </w:t>
            </w:r>
            <w:r w:rsidR="00CA75CD">
              <w:rPr>
                <w:rFonts w:ascii="Times New Roman" w:hAnsi="Times New Roman"/>
                <w:sz w:val="20"/>
                <w:szCs w:val="22"/>
              </w:rPr>
              <w:t>17/12</w:t>
            </w:r>
            <w:r w:rsidRPr="00034170">
              <w:rPr>
                <w:rFonts w:ascii="Times New Roman" w:hAnsi="Times New Roman"/>
                <w:sz w:val="20"/>
                <w:szCs w:val="22"/>
              </w:rPr>
              <w:t>/2018</w:t>
            </w:r>
          </w:p>
          <w:p w:rsidR="0077236B" w:rsidRPr="00034170" w:rsidRDefault="0077236B" w:rsidP="00192538">
            <w:pPr>
              <w:tabs>
                <w:tab w:val="left" w:pos="1252"/>
              </w:tabs>
              <w:spacing w:line="360" w:lineRule="auto"/>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sidR="00192538">
              <w:rPr>
                <w:rFonts w:ascii="Times New Roman" w:hAnsi="Times New Roman"/>
                <w:sz w:val="20"/>
                <w:szCs w:val="22"/>
              </w:rPr>
              <w:t>1004</w:t>
            </w:r>
            <w:r>
              <w:rPr>
                <w:rFonts w:ascii="Times New Roman" w:hAnsi="Times New Roman"/>
                <w:sz w:val="20"/>
                <w:szCs w:val="22"/>
              </w:rPr>
              <w:t xml:space="preserve">/2018 – </w:t>
            </w:r>
            <w:r w:rsidR="00FA4D1A" w:rsidRPr="00FA4D1A">
              <w:rPr>
                <w:rFonts w:ascii="Times New Roman" w:hAnsi="Times New Roman"/>
                <w:sz w:val="20"/>
                <w:szCs w:val="22"/>
              </w:rPr>
              <w:t>Encaminha solicitação de esclarecimentos à CEP-CAU/BR acerca da legalidade e da possibilidade de se efetuar o registro e, consequentemente, de se cobrar a contribuições sociais de interesse das categorias profissionais (anuidade) de pessoas jurídicas de direito público ou privado que, embora mantenham seções técnicas de arquitetura e urbanismo, não possuam atividade fim relacionada à profissão.</w:t>
            </w:r>
          </w:p>
        </w:tc>
      </w:tr>
      <w:tr w:rsidR="0077236B" w:rsidRPr="00FB6C18" w:rsidTr="00784FCA">
        <w:trPr>
          <w:trHeight w:val="277"/>
        </w:trPr>
        <w:tc>
          <w:tcPr>
            <w:tcW w:w="9060" w:type="dxa"/>
            <w:gridSpan w:val="2"/>
            <w:shd w:val="clear" w:color="auto" w:fill="D9D9D9"/>
          </w:tcPr>
          <w:p w:rsidR="0077236B" w:rsidRPr="00034170" w:rsidRDefault="0077236B" w:rsidP="00192538">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192538">
              <w:rPr>
                <w:rFonts w:ascii="Times New Roman" w:hAnsi="Times New Roman"/>
                <w:sz w:val="20"/>
                <w:szCs w:val="22"/>
              </w:rPr>
              <w:t>18</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77236B" w:rsidRPr="00FB6C18" w:rsidTr="00784FCA">
        <w:trPr>
          <w:trHeight w:val="257"/>
        </w:trPr>
        <w:tc>
          <w:tcPr>
            <w:tcW w:w="4530" w:type="dxa"/>
            <w:shd w:val="clear" w:color="auto" w:fill="D9D9D9"/>
          </w:tcPr>
          <w:p w:rsidR="0077236B" w:rsidRPr="00034170" w:rsidRDefault="0077236B" w:rsidP="00864655">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77236B" w:rsidRPr="00034170" w:rsidRDefault="0077236B" w:rsidP="00864655">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77236B" w:rsidRPr="00FB6C18" w:rsidRDefault="0077236B" w:rsidP="0077236B">
      <w:pPr>
        <w:ind w:right="842"/>
        <w:jc w:val="both"/>
        <w:rPr>
          <w:rFonts w:ascii="Times New Roman" w:hAnsi="Times New Roman"/>
          <w:sz w:val="22"/>
          <w:szCs w:val="22"/>
        </w:rPr>
      </w:pPr>
    </w:p>
    <w:p w:rsidR="00D213CD" w:rsidRPr="00124A49" w:rsidRDefault="00D213CD" w:rsidP="0077236B">
      <w:pPr>
        <w:spacing w:after="200" w:line="276" w:lineRule="auto"/>
        <w:jc w:val="center"/>
        <w:rPr>
          <w:rFonts w:ascii="Times New Roman" w:hAnsi="Times New Roman"/>
          <w:sz w:val="22"/>
          <w:szCs w:val="22"/>
        </w:rPr>
      </w:pPr>
    </w:p>
    <w:sectPr w:rsidR="00D213CD" w:rsidRPr="00124A49" w:rsidSect="0066336F">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92538">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9253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 w:id="1">
    <w:p w:rsidR="00FA4D1A" w:rsidRPr="000C1BED" w:rsidRDefault="00FA4D1A" w:rsidP="00FA4D1A">
      <w:pPr>
        <w:pStyle w:val="Textodenotaderodap"/>
        <w:jc w:val="both"/>
        <w:rPr>
          <w:rFonts w:ascii="Times New Roman" w:hAnsi="Times New Roman"/>
          <w:sz w:val="18"/>
          <w:szCs w:val="18"/>
        </w:rPr>
      </w:pPr>
      <w:r w:rsidRPr="000C1BED">
        <w:rPr>
          <w:rStyle w:val="Refdenotaderodap"/>
          <w:rFonts w:ascii="Times New Roman" w:hAnsi="Times New Roman"/>
          <w:sz w:val="18"/>
          <w:szCs w:val="18"/>
        </w:rPr>
        <w:footnoteRef/>
      </w:r>
      <w:r w:rsidRPr="000C1BED">
        <w:rPr>
          <w:rFonts w:ascii="Times New Roman" w:hAnsi="Times New Roman"/>
          <w:sz w:val="18"/>
          <w:szCs w:val="18"/>
        </w:rPr>
        <w:t xml:space="preserve"> Nota Jurídica nº 4/AJ-GCR/2016, de 05 de maio de 2016, emitida pela Assessoria Jurídica do CAU/BR a pedido da CEP-CAU/BR por meio do protocolo SICCAU 326671/2016</w:t>
      </w:r>
      <w:r>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-885691</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C21DA1"/>
    <w:multiLevelType w:val="hybridMultilevel"/>
    <w:tmpl w:val="42D65C80"/>
    <w:lvl w:ilvl="0" w:tplc="676287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5"/>
  </w:num>
  <w:num w:numId="6">
    <w:abstractNumId w:val="9"/>
  </w:num>
  <w:num w:numId="7">
    <w:abstractNumId w:val="8"/>
  </w:num>
  <w:num w:numId="8">
    <w:abstractNumId w:val="6"/>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92538"/>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2EA6"/>
    <w:rsid w:val="003A699B"/>
    <w:rsid w:val="003B4E9A"/>
    <w:rsid w:val="003B7D60"/>
    <w:rsid w:val="003C3C3A"/>
    <w:rsid w:val="003C484E"/>
    <w:rsid w:val="003F1946"/>
    <w:rsid w:val="003F5088"/>
    <w:rsid w:val="00410566"/>
    <w:rsid w:val="004123FC"/>
    <w:rsid w:val="00425E09"/>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710BD"/>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336F"/>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23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4655"/>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52ED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A75CD"/>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05EB"/>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36657"/>
    <w:rsid w:val="00E408E2"/>
    <w:rsid w:val="00E47A74"/>
    <w:rsid w:val="00E56097"/>
    <w:rsid w:val="00E662FF"/>
    <w:rsid w:val="00E663BC"/>
    <w:rsid w:val="00E87EAC"/>
    <w:rsid w:val="00E9324D"/>
    <w:rsid w:val="00EA3FB2"/>
    <w:rsid w:val="00EA593B"/>
    <w:rsid w:val="00EB1D18"/>
    <w:rsid w:val="00EB2B05"/>
    <w:rsid w:val="00EB4AC7"/>
    <w:rsid w:val="00ED2108"/>
    <w:rsid w:val="00ED6C95"/>
    <w:rsid w:val="00EE14F5"/>
    <w:rsid w:val="00EE6135"/>
    <w:rsid w:val="00EE6DD1"/>
    <w:rsid w:val="00EF0624"/>
    <w:rsid w:val="00F00BA3"/>
    <w:rsid w:val="00F106E3"/>
    <w:rsid w:val="00F11D97"/>
    <w:rsid w:val="00F2295D"/>
    <w:rsid w:val="00F271D7"/>
    <w:rsid w:val="00F34C54"/>
    <w:rsid w:val="00F46AB6"/>
    <w:rsid w:val="00F55E0C"/>
    <w:rsid w:val="00F62212"/>
    <w:rsid w:val="00F8113B"/>
    <w:rsid w:val="00FA1A43"/>
    <w:rsid w:val="00FA4D1A"/>
    <w:rsid w:val="00FB372F"/>
    <w:rsid w:val="00FC6A2F"/>
    <w:rsid w:val="00FC73FB"/>
    <w:rsid w:val="00FD4628"/>
    <w:rsid w:val="00FE75C7"/>
    <w:rsid w:val="00FF1677"/>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5F4D-8CE0-4C99-A57C-EDE45723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2150</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23</cp:revision>
  <cp:lastPrinted>2018-08-29T15:21:00Z</cp:lastPrinted>
  <dcterms:created xsi:type="dcterms:W3CDTF">2018-03-15T20:36:00Z</dcterms:created>
  <dcterms:modified xsi:type="dcterms:W3CDTF">2018-12-17T14:14:00Z</dcterms:modified>
</cp:coreProperties>
</file>