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B54B6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AE5145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AE5145" w:rsidRDefault="001E4DA7" w:rsidP="001E4DA7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1032</w:t>
            </w:r>
            <w:r w:rsidR="008619E1" w:rsidRPr="00AE5145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8776F" w:rsidRPr="00B54B66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AE5145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AE5145" w:rsidRDefault="00F5424C" w:rsidP="001E4D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</w:rPr>
              <w:t xml:space="preserve">Arquiteto e Urbanista </w:t>
            </w:r>
            <w:r w:rsidR="002D5FAB" w:rsidRPr="00303C9E">
              <w:rPr>
                <w:rFonts w:ascii="Times New Roman" w:eastAsia="Calibri" w:hAnsi="Times New Roman"/>
                <w:sz w:val="22"/>
                <w:szCs w:val="22"/>
              </w:rPr>
              <w:t>ROGÉRIO HAMILTON GENOVESIO MEIRA</w:t>
            </w:r>
            <w:bookmarkStart w:id="0" w:name="_GoBack"/>
            <w:bookmarkEnd w:id="0"/>
          </w:p>
        </w:tc>
      </w:tr>
      <w:tr w:rsidR="0088776F" w:rsidRPr="00B54B66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AE5145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AE5145" w:rsidRDefault="00483A8E" w:rsidP="001E4DA7">
            <w:pPr>
              <w:rPr>
                <w:rFonts w:ascii="Times New Roman" w:hAnsi="Times New Roman"/>
                <w:sz w:val="22"/>
                <w:szCs w:val="22"/>
              </w:rPr>
            </w:pPr>
            <w:r w:rsidRPr="00AE5145">
              <w:rPr>
                <w:rFonts w:ascii="Times New Roman" w:hAnsi="Times New Roman"/>
                <w:sz w:val="22"/>
                <w:szCs w:val="22"/>
              </w:rPr>
              <w:t xml:space="preserve">Homologa encaminhamentos acerca do </w:t>
            </w:r>
            <w:r w:rsidR="008619E1" w:rsidRPr="00AE5145">
              <w:rPr>
                <w:rFonts w:ascii="Times New Roman" w:hAnsi="Times New Roman"/>
                <w:sz w:val="22"/>
                <w:szCs w:val="22"/>
              </w:rPr>
              <w:t xml:space="preserve">processo administrativo </w:t>
            </w:r>
            <w:r w:rsidR="001E4DA7">
              <w:rPr>
                <w:rFonts w:ascii="Times New Roman" w:hAnsi="Times New Roman"/>
                <w:sz w:val="22"/>
                <w:szCs w:val="22"/>
              </w:rPr>
              <w:t>1032</w:t>
            </w:r>
            <w:r w:rsidR="008619E1" w:rsidRPr="00AE5145">
              <w:rPr>
                <w:rFonts w:ascii="Times New Roman" w:hAnsi="Times New Roman"/>
                <w:sz w:val="22"/>
                <w:szCs w:val="22"/>
              </w:rPr>
              <w:t>/201</w:t>
            </w:r>
            <w:r w:rsidR="001E4DA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:rsidR="001E4DA7" w:rsidRPr="00840741" w:rsidRDefault="001E4DA7" w:rsidP="001E4DA7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>
        <w:rPr>
          <w:rFonts w:ascii="Times New Roman" w:hAnsi="Times New Roman"/>
          <w:b/>
          <w:sz w:val="22"/>
          <w:szCs w:val="22"/>
        </w:rPr>
        <w:t>017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D53DA9" w:rsidRDefault="00483A8E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Homologa encaminhamentos acerca </w:t>
      </w:r>
      <w:r w:rsidR="00977CB9" w:rsidRPr="00B54B66">
        <w:rPr>
          <w:rFonts w:ascii="Times New Roman" w:hAnsi="Times New Roman"/>
          <w:sz w:val="20"/>
          <w:szCs w:val="20"/>
        </w:rPr>
        <w:t>d</w:t>
      </w:r>
      <w:r w:rsidR="008A7323">
        <w:rPr>
          <w:rFonts w:ascii="Times New Roman" w:hAnsi="Times New Roman"/>
          <w:sz w:val="20"/>
          <w:szCs w:val="20"/>
        </w:rPr>
        <w:t>o</w:t>
      </w:r>
      <w:r w:rsidR="008619E1">
        <w:rPr>
          <w:rFonts w:ascii="Times New Roman" w:hAnsi="Times New Roman"/>
          <w:sz w:val="20"/>
          <w:szCs w:val="20"/>
        </w:rPr>
        <w:t xml:space="preserve"> processo administrativo</w:t>
      </w:r>
      <w:r w:rsidR="0088776F" w:rsidRPr="00B54B66">
        <w:rPr>
          <w:rFonts w:ascii="Times New Roman" w:hAnsi="Times New Roman"/>
          <w:sz w:val="20"/>
          <w:szCs w:val="20"/>
        </w:rPr>
        <w:t xml:space="preserve"> nº </w:t>
      </w:r>
      <w:r w:rsidR="001E4DA7">
        <w:rPr>
          <w:rFonts w:ascii="Times New Roman" w:hAnsi="Times New Roman"/>
          <w:sz w:val="20"/>
          <w:szCs w:val="20"/>
        </w:rPr>
        <w:t>1032</w:t>
      </w:r>
      <w:r w:rsidR="008619E1">
        <w:rPr>
          <w:rFonts w:ascii="Times New Roman" w:hAnsi="Times New Roman"/>
          <w:sz w:val="20"/>
          <w:szCs w:val="20"/>
        </w:rPr>
        <w:t>/201</w:t>
      </w:r>
      <w:r w:rsidR="001E4DA7">
        <w:rPr>
          <w:rFonts w:ascii="Times New Roman" w:hAnsi="Times New Roman"/>
          <w:sz w:val="20"/>
          <w:szCs w:val="20"/>
        </w:rPr>
        <w:t>8</w:t>
      </w:r>
      <w:r w:rsidR="00D53DA9" w:rsidRPr="00B54B66">
        <w:rPr>
          <w:rFonts w:ascii="Times New Roman" w:hAnsi="Times New Roman"/>
          <w:sz w:val="20"/>
          <w:szCs w:val="20"/>
        </w:rPr>
        <w:t>.</w:t>
      </w:r>
    </w:p>
    <w:p w:rsidR="00F5424C" w:rsidRPr="00B54B66" w:rsidRDefault="00F5424C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F5424C" w:rsidRDefault="00F5424C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4DA7" w:rsidRPr="007A6BEB" w:rsidRDefault="001E4DA7" w:rsidP="001E4DA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</w:t>
      </w:r>
      <w:r>
        <w:rPr>
          <w:rFonts w:ascii="Times New Roman" w:hAnsi="Times New Roman"/>
          <w:sz w:val="22"/>
          <w:szCs w:val="22"/>
        </w:rPr>
        <w:t>extra</w:t>
      </w:r>
      <w:r w:rsidRPr="007A6BEB"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>
        <w:rPr>
          <w:rFonts w:ascii="Times New Roman" w:hAnsi="Times New Roman"/>
          <w:sz w:val="22"/>
          <w:szCs w:val="22"/>
        </w:rPr>
        <w:t xml:space="preserve">29 de março </w:t>
      </w:r>
      <w:r w:rsidRPr="007A6BEB">
        <w:rPr>
          <w:rFonts w:ascii="Times New Roman" w:hAnsi="Times New Roman"/>
          <w:sz w:val="22"/>
          <w:szCs w:val="22"/>
        </w:rPr>
        <w:t xml:space="preserve">de 2019, </w:t>
      </w:r>
      <w:r w:rsidRPr="007A6BEB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7A6BEB">
        <w:rPr>
          <w:rFonts w:ascii="Times New Roman" w:hAnsi="Times New Roman"/>
          <w:sz w:val="22"/>
          <w:szCs w:val="22"/>
        </w:rPr>
        <w:t>;</w:t>
      </w:r>
    </w:p>
    <w:p w:rsidR="008A7323" w:rsidRPr="00960B4A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E5145" w:rsidRPr="00303C9E" w:rsidRDefault="00AE5145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 xml:space="preserve">Considerando o disposto no art. 24, § 1º, da Lei nº 12.378/2010,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</w:t>
      </w:r>
      <w:r w:rsidRPr="00303C9E">
        <w:rPr>
          <w:rFonts w:ascii="Times New Roman" w:hAnsi="Times New Roman"/>
          <w:sz w:val="22"/>
          <w:szCs w:val="22"/>
        </w:rPr>
        <w:t>Arquitetura e Urbanismo;</w:t>
      </w:r>
    </w:p>
    <w:p w:rsidR="00A50992" w:rsidRPr="00303C9E" w:rsidRDefault="00A50992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0992" w:rsidRPr="00303C9E" w:rsidRDefault="00A50992" w:rsidP="00A50992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303C9E">
        <w:rPr>
          <w:rFonts w:ascii="Times New Roman" w:hAnsi="Times New Roman"/>
          <w:sz w:val="22"/>
          <w:szCs w:val="22"/>
        </w:rPr>
        <w:t xml:space="preserve">Considerando a Notificação Administrativa nº </w:t>
      </w:r>
      <w:r w:rsidR="00303C9E" w:rsidRPr="00303C9E">
        <w:rPr>
          <w:rFonts w:ascii="Times New Roman" w:hAnsi="Times New Roman"/>
          <w:sz w:val="22"/>
          <w:szCs w:val="22"/>
        </w:rPr>
        <w:t>1509/2018</w:t>
      </w:r>
      <w:r w:rsidRPr="00303C9E">
        <w:rPr>
          <w:rFonts w:ascii="Times New Roman" w:hAnsi="Times New Roman"/>
          <w:sz w:val="22"/>
          <w:szCs w:val="22"/>
        </w:rPr>
        <w:t xml:space="preserve">, encaminhada em </w:t>
      </w:r>
      <w:r w:rsidR="00303C9E" w:rsidRPr="00303C9E">
        <w:rPr>
          <w:rFonts w:ascii="Times New Roman" w:hAnsi="Times New Roman"/>
          <w:sz w:val="22"/>
          <w:szCs w:val="22"/>
        </w:rPr>
        <w:t xml:space="preserve">01 de outubro </w:t>
      </w:r>
      <w:r w:rsidR="00F5424C" w:rsidRPr="00303C9E">
        <w:rPr>
          <w:rFonts w:ascii="Times New Roman" w:hAnsi="Times New Roman"/>
          <w:sz w:val="22"/>
          <w:szCs w:val="22"/>
        </w:rPr>
        <w:t>de 201</w:t>
      </w:r>
      <w:r w:rsidR="00303C9E" w:rsidRPr="00303C9E">
        <w:rPr>
          <w:rFonts w:ascii="Times New Roman" w:hAnsi="Times New Roman"/>
          <w:sz w:val="22"/>
          <w:szCs w:val="22"/>
        </w:rPr>
        <w:t xml:space="preserve">8 </w:t>
      </w:r>
      <w:r w:rsidRPr="00303C9E">
        <w:rPr>
          <w:rFonts w:ascii="Times New Roman" w:hAnsi="Times New Roman"/>
          <w:sz w:val="22"/>
          <w:szCs w:val="22"/>
        </w:rPr>
        <w:t xml:space="preserve">pelo CAU/RS </w:t>
      </w:r>
      <w:r w:rsidR="00F5424C" w:rsidRPr="00303C9E">
        <w:rPr>
          <w:rFonts w:ascii="Times New Roman" w:hAnsi="Times New Roman"/>
          <w:sz w:val="22"/>
          <w:szCs w:val="22"/>
        </w:rPr>
        <w:t xml:space="preserve">ao arquiteto e urbanista </w:t>
      </w:r>
      <w:r w:rsidR="00303C9E" w:rsidRPr="00303C9E">
        <w:rPr>
          <w:rFonts w:ascii="Times New Roman" w:eastAsia="Calibri" w:hAnsi="Times New Roman"/>
          <w:sz w:val="22"/>
          <w:szCs w:val="22"/>
        </w:rPr>
        <w:t>ROGÉRIO HAMILTON GENOVESIO MEIRA</w:t>
      </w:r>
      <w:r w:rsidR="007C50F4" w:rsidRPr="00303C9E">
        <w:rPr>
          <w:rFonts w:ascii="Times New Roman" w:eastAsia="Calibri" w:hAnsi="Times New Roman"/>
          <w:sz w:val="22"/>
          <w:szCs w:val="22"/>
        </w:rPr>
        <w:t xml:space="preserve">, </w:t>
      </w:r>
      <w:r w:rsidR="00F5424C" w:rsidRPr="00303C9E">
        <w:rPr>
          <w:rFonts w:ascii="Times New Roman" w:eastAsia="Calibri" w:hAnsi="Times New Roman"/>
          <w:sz w:val="22"/>
          <w:szCs w:val="22"/>
        </w:rPr>
        <w:t xml:space="preserve">CPF </w:t>
      </w:r>
      <w:r w:rsidR="00303C9E" w:rsidRPr="00303C9E">
        <w:rPr>
          <w:rFonts w:ascii="Times New Roman" w:eastAsia="Calibri" w:hAnsi="Times New Roman"/>
          <w:sz w:val="22"/>
          <w:szCs w:val="22"/>
        </w:rPr>
        <w:t>160.716.970-34</w:t>
      </w:r>
      <w:r w:rsidR="00F5424C" w:rsidRPr="00303C9E">
        <w:rPr>
          <w:rFonts w:ascii="Times New Roman" w:eastAsia="Calibri" w:hAnsi="Times New Roman"/>
          <w:sz w:val="22"/>
          <w:szCs w:val="22"/>
        </w:rPr>
        <w:t xml:space="preserve">, </w:t>
      </w:r>
      <w:r w:rsidR="007C50F4" w:rsidRPr="00303C9E">
        <w:rPr>
          <w:rFonts w:ascii="Times New Roman" w:eastAsia="Calibri" w:hAnsi="Times New Roman"/>
          <w:sz w:val="22"/>
          <w:szCs w:val="22"/>
        </w:rPr>
        <w:t>concedendo o prazo de 30 (trinta) dias para saldar o</w:t>
      </w:r>
      <w:r w:rsidR="00303C9E" w:rsidRPr="00303C9E">
        <w:rPr>
          <w:rFonts w:ascii="Times New Roman" w:eastAsia="Calibri" w:hAnsi="Times New Roman"/>
          <w:sz w:val="22"/>
          <w:szCs w:val="22"/>
        </w:rPr>
        <w:t>u parcelar o débito referente à</w:t>
      </w:r>
      <w:r w:rsidR="007C50F4" w:rsidRPr="00303C9E">
        <w:rPr>
          <w:rFonts w:ascii="Times New Roman" w:eastAsia="Calibri" w:hAnsi="Times New Roman"/>
          <w:sz w:val="22"/>
          <w:szCs w:val="22"/>
        </w:rPr>
        <w:t xml:space="preserve"> an</w:t>
      </w:r>
      <w:r w:rsidR="00303C9E" w:rsidRPr="00303C9E">
        <w:rPr>
          <w:rFonts w:ascii="Times New Roman" w:eastAsia="Calibri" w:hAnsi="Times New Roman"/>
          <w:sz w:val="22"/>
          <w:szCs w:val="22"/>
        </w:rPr>
        <w:t>uidade</w:t>
      </w:r>
      <w:r w:rsidR="007C50F4" w:rsidRPr="00303C9E">
        <w:rPr>
          <w:rFonts w:ascii="Times New Roman" w:eastAsia="Calibri" w:hAnsi="Times New Roman"/>
          <w:sz w:val="22"/>
          <w:szCs w:val="22"/>
        </w:rPr>
        <w:t xml:space="preserve"> de 2015</w:t>
      </w:r>
      <w:r w:rsidR="00F5424C" w:rsidRPr="00303C9E">
        <w:rPr>
          <w:rFonts w:ascii="Times New Roman" w:eastAsia="Calibri" w:hAnsi="Times New Roman"/>
          <w:sz w:val="22"/>
          <w:szCs w:val="22"/>
        </w:rPr>
        <w:t xml:space="preserve"> </w:t>
      </w:r>
      <w:r w:rsidR="007C50F4" w:rsidRPr="00303C9E">
        <w:rPr>
          <w:rFonts w:ascii="Times New Roman" w:eastAsia="Calibri" w:hAnsi="Times New Roman"/>
          <w:sz w:val="22"/>
          <w:szCs w:val="22"/>
        </w:rPr>
        <w:t xml:space="preserve">ou para oferecer impugnação escrita </w:t>
      </w:r>
      <w:r w:rsidR="00F5424C" w:rsidRPr="00303C9E">
        <w:rPr>
          <w:rFonts w:ascii="Times New Roman" w:eastAsia="Calibri" w:hAnsi="Times New Roman"/>
          <w:sz w:val="22"/>
          <w:szCs w:val="22"/>
        </w:rPr>
        <w:t xml:space="preserve">à </w:t>
      </w:r>
      <w:proofErr w:type="spellStart"/>
      <w:r w:rsidR="00F5424C" w:rsidRPr="00303C9E">
        <w:rPr>
          <w:rFonts w:ascii="Times New Roman" w:eastAsia="Calibri" w:hAnsi="Times New Roman"/>
          <w:sz w:val="22"/>
          <w:szCs w:val="22"/>
        </w:rPr>
        <w:t>CPFi</w:t>
      </w:r>
      <w:proofErr w:type="spellEnd"/>
      <w:r w:rsidR="00F5424C" w:rsidRPr="00303C9E">
        <w:rPr>
          <w:rFonts w:ascii="Times New Roman" w:eastAsia="Calibri" w:hAnsi="Times New Roman"/>
          <w:sz w:val="22"/>
          <w:szCs w:val="22"/>
        </w:rPr>
        <w:t>-CAU/RS</w:t>
      </w:r>
      <w:r w:rsidRPr="00303C9E">
        <w:rPr>
          <w:rFonts w:ascii="Times New Roman" w:eastAsia="Calibri" w:hAnsi="Times New Roman"/>
          <w:sz w:val="22"/>
          <w:szCs w:val="22"/>
        </w:rPr>
        <w:t>;</w:t>
      </w:r>
    </w:p>
    <w:p w:rsidR="006E2391" w:rsidRPr="001E4DA7" w:rsidRDefault="006E2391" w:rsidP="00A50992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  <w:highlight w:val="yellow"/>
        </w:rPr>
      </w:pPr>
    </w:p>
    <w:p w:rsidR="00A50992" w:rsidRPr="000B167C" w:rsidRDefault="006E2391" w:rsidP="00A50992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0B167C">
        <w:rPr>
          <w:rFonts w:ascii="Times New Roman" w:eastAsia="Calibri" w:hAnsi="Times New Roman"/>
          <w:sz w:val="22"/>
          <w:szCs w:val="22"/>
        </w:rPr>
        <w:t xml:space="preserve">Considerando a resposta à notificação, </w:t>
      </w:r>
      <w:r w:rsidR="000B167C" w:rsidRPr="000B167C">
        <w:rPr>
          <w:rFonts w:ascii="Times New Roman" w:eastAsia="Calibri" w:hAnsi="Times New Roman"/>
          <w:sz w:val="22"/>
          <w:szCs w:val="22"/>
        </w:rPr>
        <w:t xml:space="preserve">encaminhada pelo </w:t>
      </w:r>
      <w:r w:rsidR="00303C9E" w:rsidRPr="000B167C">
        <w:rPr>
          <w:rFonts w:ascii="Times New Roman" w:eastAsia="Calibri" w:hAnsi="Times New Roman"/>
          <w:sz w:val="22"/>
          <w:szCs w:val="22"/>
        </w:rPr>
        <w:t>profissional</w:t>
      </w:r>
      <w:r w:rsidR="000B167C" w:rsidRPr="000B167C">
        <w:rPr>
          <w:rFonts w:ascii="Times New Roman" w:eastAsia="Calibri" w:hAnsi="Times New Roman"/>
          <w:sz w:val="22"/>
          <w:szCs w:val="22"/>
        </w:rPr>
        <w:t xml:space="preserve"> e a Deliberação nº 212/2019 -  </w:t>
      </w:r>
      <w:proofErr w:type="spellStart"/>
      <w:r w:rsidR="000B167C" w:rsidRPr="000B167C">
        <w:rPr>
          <w:rFonts w:ascii="Times New Roman" w:eastAsia="Calibri" w:hAnsi="Times New Roman"/>
          <w:sz w:val="22"/>
          <w:szCs w:val="22"/>
        </w:rPr>
        <w:t>CPFi</w:t>
      </w:r>
      <w:proofErr w:type="spellEnd"/>
      <w:r w:rsidR="000B167C" w:rsidRPr="000B167C">
        <w:rPr>
          <w:rFonts w:ascii="Times New Roman" w:eastAsia="Calibri" w:hAnsi="Times New Roman"/>
          <w:sz w:val="22"/>
          <w:szCs w:val="22"/>
        </w:rPr>
        <w:t xml:space="preserve">-CAU/RS </w:t>
      </w:r>
      <w:r w:rsidR="00A50992" w:rsidRPr="000B167C">
        <w:rPr>
          <w:rFonts w:ascii="Times New Roman" w:eastAsia="Calibri" w:hAnsi="Times New Roman"/>
          <w:sz w:val="22"/>
          <w:szCs w:val="22"/>
        </w:rPr>
        <w:t xml:space="preserve">aprovou o </w:t>
      </w:r>
      <w:r w:rsidRPr="000B167C">
        <w:rPr>
          <w:rFonts w:ascii="Times New Roman" w:eastAsia="Calibri" w:hAnsi="Times New Roman"/>
          <w:sz w:val="22"/>
          <w:szCs w:val="22"/>
        </w:rPr>
        <w:t xml:space="preserve">parecer do relator pela </w:t>
      </w:r>
      <w:r w:rsidR="007C50F4" w:rsidRPr="000B167C">
        <w:rPr>
          <w:rFonts w:ascii="Times New Roman" w:eastAsia="Calibri" w:hAnsi="Times New Roman"/>
          <w:sz w:val="22"/>
          <w:szCs w:val="22"/>
        </w:rPr>
        <w:t>im</w:t>
      </w:r>
      <w:r w:rsidR="00EA7B74" w:rsidRPr="000B167C">
        <w:rPr>
          <w:rFonts w:ascii="Times New Roman" w:eastAsia="Calibri" w:hAnsi="Times New Roman"/>
          <w:sz w:val="22"/>
          <w:szCs w:val="22"/>
        </w:rPr>
        <w:t xml:space="preserve">procedência </w:t>
      </w:r>
      <w:r w:rsidR="000B167C" w:rsidRPr="000B167C">
        <w:rPr>
          <w:rFonts w:ascii="Times New Roman" w:eastAsia="Calibri" w:hAnsi="Times New Roman"/>
          <w:sz w:val="22"/>
          <w:szCs w:val="22"/>
        </w:rPr>
        <w:t xml:space="preserve">da </w:t>
      </w:r>
      <w:r w:rsidR="000B167C" w:rsidRPr="000B167C">
        <w:rPr>
          <w:rFonts w:ascii="Times New Roman" w:hAnsi="Times New Roman"/>
          <w:sz w:val="22"/>
          <w:szCs w:val="22"/>
        </w:rPr>
        <w:t xml:space="preserve">impugnação oferecida pelo profissional </w:t>
      </w:r>
      <w:r w:rsidR="000B167C" w:rsidRPr="000B167C">
        <w:rPr>
          <w:rFonts w:ascii="Times New Roman" w:eastAsia="Calibri" w:hAnsi="Times New Roman"/>
          <w:sz w:val="22"/>
          <w:szCs w:val="22"/>
        </w:rPr>
        <w:t>Arquiteto e Urbanista ROGÉRIO HAMILTON GENOVÉSIO MEIRA - CPF 160.716.970-34, com o fim de</w:t>
      </w:r>
      <w:r w:rsidR="000B167C" w:rsidRPr="000B167C">
        <w:rPr>
          <w:rFonts w:ascii="Times New Roman" w:hAnsi="Times New Roman"/>
          <w:sz w:val="22"/>
          <w:szCs w:val="22"/>
        </w:rPr>
        <w:t>, com base nos elementos probatórios existentes nos autos, manter o débito relativo à anuidade do exercício de 2015, visto que não há qualquer suporte legal hábil a amparar a renúncia de receitas que seria originada com a isenção da anuidade, bem como pela ausência de solicitação de baixa de registro anterior a 07/12/2015, a qual constitui ato voluntário do profissiona</w:t>
      </w:r>
      <w:r w:rsidR="000B167C" w:rsidRPr="000B167C">
        <w:rPr>
          <w:rFonts w:ascii="Times New Roman" w:eastAsia="Calibri" w:hAnsi="Times New Roman"/>
          <w:sz w:val="22"/>
          <w:szCs w:val="22"/>
        </w:rPr>
        <w:t>l;</w:t>
      </w:r>
    </w:p>
    <w:p w:rsidR="00AE5145" w:rsidRPr="001E4DA7" w:rsidRDefault="00AE5145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6E1A43" w:rsidRPr="002D5FAB" w:rsidRDefault="006E1A43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 w:rsidRPr="002D5FAB">
        <w:rPr>
          <w:rFonts w:ascii="Times New Roman" w:hAnsi="Times New Roman"/>
          <w:sz w:val="22"/>
          <w:szCs w:val="22"/>
        </w:rPr>
        <w:t>Consi</w:t>
      </w:r>
      <w:r w:rsidR="000B167C" w:rsidRPr="002D5FAB">
        <w:rPr>
          <w:rFonts w:ascii="Times New Roman" w:hAnsi="Times New Roman"/>
          <w:sz w:val="22"/>
          <w:szCs w:val="22"/>
        </w:rPr>
        <w:t>derando recurso interposto, pelo</w:t>
      </w:r>
      <w:r w:rsidRPr="002D5FAB">
        <w:rPr>
          <w:rFonts w:ascii="Times New Roman" w:hAnsi="Times New Roman"/>
          <w:sz w:val="22"/>
          <w:szCs w:val="22"/>
        </w:rPr>
        <w:t xml:space="preserve"> </w:t>
      </w:r>
      <w:r w:rsidR="000B167C" w:rsidRPr="002D5FAB">
        <w:rPr>
          <w:rFonts w:ascii="Times New Roman" w:eastAsia="Calibri" w:hAnsi="Times New Roman"/>
          <w:sz w:val="22"/>
          <w:szCs w:val="22"/>
        </w:rPr>
        <w:t xml:space="preserve">profissional </w:t>
      </w:r>
      <w:r w:rsidR="000B167C" w:rsidRPr="002D5FAB">
        <w:rPr>
          <w:rFonts w:ascii="Times New Roman" w:hAnsi="Times New Roman"/>
          <w:sz w:val="22"/>
          <w:szCs w:val="22"/>
        </w:rPr>
        <w:t xml:space="preserve">arquiteto e urbanista </w:t>
      </w:r>
      <w:r w:rsidR="000B167C" w:rsidRPr="002D5FAB">
        <w:rPr>
          <w:rFonts w:ascii="Times New Roman" w:eastAsia="Calibri" w:hAnsi="Times New Roman"/>
          <w:sz w:val="22"/>
          <w:szCs w:val="22"/>
        </w:rPr>
        <w:t>ROGÉRIO HAMILTON GENOVESIO MEIRA, CPF 160.716.970-34</w:t>
      </w:r>
      <w:r w:rsidR="000B167C" w:rsidRPr="002D5FAB">
        <w:rPr>
          <w:rFonts w:ascii="Times New Roman" w:eastAsia="Calibri" w:hAnsi="Times New Roman"/>
          <w:sz w:val="22"/>
          <w:szCs w:val="22"/>
        </w:rPr>
        <w:t xml:space="preserve"> (</w:t>
      </w:r>
      <w:proofErr w:type="spellStart"/>
      <w:r w:rsidR="000B167C" w:rsidRPr="002D5FAB">
        <w:rPr>
          <w:rFonts w:ascii="Times New Roman" w:eastAsia="Calibri" w:hAnsi="Times New Roman"/>
          <w:sz w:val="22"/>
          <w:szCs w:val="22"/>
        </w:rPr>
        <w:t>fl</w:t>
      </w:r>
      <w:proofErr w:type="spellEnd"/>
      <w:r w:rsidR="007F08B1" w:rsidRPr="002D5FAB">
        <w:rPr>
          <w:rFonts w:ascii="Times New Roman" w:eastAsia="Calibri" w:hAnsi="Times New Roman"/>
          <w:sz w:val="22"/>
          <w:szCs w:val="22"/>
        </w:rPr>
        <w:t xml:space="preserve"> 19)</w:t>
      </w:r>
      <w:r w:rsidR="006868B4" w:rsidRPr="002D5FAB">
        <w:rPr>
          <w:rFonts w:ascii="Times New Roman" w:eastAsia="Calibri" w:hAnsi="Times New Roman"/>
          <w:sz w:val="22"/>
          <w:szCs w:val="22"/>
        </w:rPr>
        <w:t xml:space="preserve">, </w:t>
      </w:r>
      <w:r w:rsidR="00DC0E10" w:rsidRPr="002D5FAB">
        <w:rPr>
          <w:rFonts w:ascii="Times New Roman" w:eastAsiaTheme="minorHAnsi" w:hAnsi="Times New Roman"/>
          <w:sz w:val="22"/>
          <w:szCs w:val="22"/>
        </w:rPr>
        <w:t>referente ao</w:t>
      </w:r>
      <w:r w:rsidRPr="002D5FAB">
        <w:rPr>
          <w:rFonts w:ascii="Times New Roman" w:eastAsiaTheme="minorHAnsi" w:hAnsi="Times New Roman"/>
          <w:sz w:val="22"/>
          <w:szCs w:val="22"/>
        </w:rPr>
        <w:t xml:space="preserve"> Processo </w:t>
      </w:r>
      <w:r w:rsidR="00AE5145" w:rsidRPr="002D5FAB">
        <w:rPr>
          <w:rFonts w:ascii="Times New Roman" w:eastAsiaTheme="minorHAnsi" w:hAnsi="Times New Roman"/>
          <w:sz w:val="22"/>
          <w:szCs w:val="22"/>
        </w:rPr>
        <w:t xml:space="preserve">Administrativo </w:t>
      </w:r>
      <w:r w:rsidRPr="002D5FAB">
        <w:rPr>
          <w:rFonts w:ascii="Times New Roman" w:eastAsiaTheme="minorHAnsi" w:hAnsi="Times New Roman"/>
          <w:sz w:val="22"/>
          <w:szCs w:val="22"/>
        </w:rPr>
        <w:t xml:space="preserve">nº </w:t>
      </w:r>
      <w:r w:rsidR="007F08B1" w:rsidRPr="002D5FAB">
        <w:rPr>
          <w:rFonts w:ascii="Times New Roman" w:hAnsi="Times New Roman"/>
          <w:sz w:val="22"/>
          <w:szCs w:val="22"/>
        </w:rPr>
        <w:t>1032</w:t>
      </w:r>
      <w:r w:rsidRPr="002D5FAB">
        <w:rPr>
          <w:rFonts w:ascii="Times New Roman" w:hAnsi="Times New Roman"/>
          <w:sz w:val="22"/>
          <w:szCs w:val="22"/>
        </w:rPr>
        <w:t>/201</w:t>
      </w:r>
      <w:r w:rsidR="007F08B1" w:rsidRPr="002D5FAB">
        <w:rPr>
          <w:rFonts w:ascii="Times New Roman" w:hAnsi="Times New Roman"/>
          <w:sz w:val="22"/>
          <w:szCs w:val="22"/>
        </w:rPr>
        <w:t>8</w:t>
      </w:r>
      <w:r w:rsidRPr="002D5FAB">
        <w:rPr>
          <w:rFonts w:ascii="Times New Roman" w:eastAsiaTheme="minorHAnsi" w:hAnsi="Times New Roman"/>
          <w:sz w:val="22"/>
          <w:szCs w:val="22"/>
        </w:rPr>
        <w:t>;</w:t>
      </w:r>
    </w:p>
    <w:p w:rsidR="00EA7B74" w:rsidRPr="002D5FAB" w:rsidRDefault="00EA7B74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EA7B74" w:rsidRPr="002D5FAB" w:rsidRDefault="00EA7B74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 w:rsidRPr="002D5FAB">
        <w:rPr>
          <w:rFonts w:ascii="Times New Roman" w:eastAsiaTheme="minorHAnsi" w:hAnsi="Times New Roman"/>
          <w:sz w:val="22"/>
          <w:szCs w:val="22"/>
        </w:rPr>
        <w:t xml:space="preserve">Considerando </w:t>
      </w:r>
      <w:r w:rsidR="00DC0E10" w:rsidRPr="002D5FAB">
        <w:rPr>
          <w:rFonts w:ascii="Times New Roman" w:eastAsiaTheme="minorHAnsi" w:hAnsi="Times New Roman"/>
          <w:sz w:val="22"/>
          <w:szCs w:val="22"/>
        </w:rPr>
        <w:t xml:space="preserve">a distribuição do Processo Administrativo </w:t>
      </w:r>
      <w:r w:rsidR="007F08B1" w:rsidRPr="002D5FAB">
        <w:rPr>
          <w:rFonts w:ascii="Times New Roman" w:eastAsiaTheme="minorHAnsi" w:hAnsi="Times New Roman"/>
          <w:sz w:val="22"/>
          <w:szCs w:val="22"/>
        </w:rPr>
        <w:t>1032/2018</w:t>
      </w:r>
      <w:r w:rsidR="00DC0E10" w:rsidRPr="002D5FAB">
        <w:rPr>
          <w:rFonts w:ascii="Times New Roman" w:eastAsiaTheme="minorHAnsi" w:hAnsi="Times New Roman"/>
          <w:sz w:val="22"/>
          <w:szCs w:val="22"/>
        </w:rPr>
        <w:t xml:space="preserve">, </w:t>
      </w:r>
      <w:r w:rsidRPr="002D5FAB">
        <w:rPr>
          <w:rFonts w:ascii="Times New Roman" w:eastAsiaTheme="minorHAnsi" w:hAnsi="Times New Roman"/>
          <w:sz w:val="22"/>
          <w:szCs w:val="22"/>
        </w:rPr>
        <w:t xml:space="preserve">em </w:t>
      </w:r>
      <w:r w:rsidR="007F08B1" w:rsidRPr="002D5FAB">
        <w:rPr>
          <w:rFonts w:ascii="Times New Roman" w:eastAsiaTheme="minorHAnsi" w:hAnsi="Times New Roman"/>
          <w:sz w:val="22"/>
          <w:szCs w:val="22"/>
        </w:rPr>
        <w:t xml:space="preserve">15 </w:t>
      </w:r>
      <w:r w:rsidRPr="002D5FAB">
        <w:rPr>
          <w:rFonts w:ascii="Times New Roman" w:eastAsiaTheme="minorHAnsi" w:hAnsi="Times New Roman"/>
          <w:sz w:val="22"/>
          <w:szCs w:val="22"/>
        </w:rPr>
        <w:t xml:space="preserve">de </w:t>
      </w:r>
      <w:r w:rsidR="00DC0E10" w:rsidRPr="002D5FAB">
        <w:rPr>
          <w:rFonts w:ascii="Times New Roman" w:eastAsiaTheme="minorHAnsi" w:hAnsi="Times New Roman"/>
          <w:sz w:val="22"/>
          <w:szCs w:val="22"/>
        </w:rPr>
        <w:t>fevereiro de 2019, ao Conselheiro</w:t>
      </w:r>
      <w:r w:rsidRPr="002D5FAB">
        <w:rPr>
          <w:rFonts w:ascii="Times New Roman" w:eastAsiaTheme="minorHAnsi" w:hAnsi="Times New Roman"/>
          <w:sz w:val="22"/>
          <w:szCs w:val="22"/>
        </w:rPr>
        <w:t xml:space="preserve"> </w:t>
      </w:r>
      <w:r w:rsidR="007F08B1" w:rsidRPr="002D5FAB">
        <w:rPr>
          <w:rFonts w:ascii="Times New Roman" w:eastAsiaTheme="minorHAnsi" w:hAnsi="Times New Roman"/>
          <w:sz w:val="22"/>
          <w:szCs w:val="22"/>
        </w:rPr>
        <w:t>Manoel Joaquim Tostes</w:t>
      </w:r>
      <w:r w:rsidRPr="002D5FAB">
        <w:rPr>
          <w:rFonts w:ascii="Times New Roman" w:eastAsiaTheme="minorHAnsi" w:hAnsi="Times New Roman"/>
          <w:sz w:val="22"/>
          <w:szCs w:val="22"/>
        </w:rPr>
        <w:t xml:space="preserve"> para relato e voto acerca do recurso</w:t>
      </w:r>
      <w:r w:rsidR="00DC0E10" w:rsidRPr="002D5FAB">
        <w:rPr>
          <w:rFonts w:ascii="Times New Roman" w:eastAsiaTheme="minorHAnsi" w:hAnsi="Times New Roman"/>
          <w:sz w:val="22"/>
          <w:szCs w:val="22"/>
        </w:rPr>
        <w:t xml:space="preserve"> apresentado (</w:t>
      </w:r>
      <w:proofErr w:type="spellStart"/>
      <w:r w:rsidR="00DC0E10" w:rsidRPr="002D5FAB">
        <w:rPr>
          <w:rFonts w:ascii="Times New Roman" w:eastAsiaTheme="minorHAnsi" w:hAnsi="Times New Roman"/>
          <w:sz w:val="22"/>
          <w:szCs w:val="22"/>
        </w:rPr>
        <w:t>fl</w:t>
      </w:r>
      <w:proofErr w:type="spellEnd"/>
      <w:r w:rsidR="00DC0E10" w:rsidRPr="002D5FAB">
        <w:rPr>
          <w:rFonts w:ascii="Times New Roman" w:eastAsiaTheme="minorHAnsi" w:hAnsi="Times New Roman"/>
          <w:sz w:val="22"/>
          <w:szCs w:val="22"/>
        </w:rPr>
        <w:t xml:space="preserve"> </w:t>
      </w:r>
      <w:r w:rsidR="007F08B1" w:rsidRPr="002D5FAB">
        <w:rPr>
          <w:rFonts w:ascii="Times New Roman" w:eastAsiaTheme="minorHAnsi" w:hAnsi="Times New Roman"/>
          <w:sz w:val="22"/>
          <w:szCs w:val="22"/>
        </w:rPr>
        <w:t>19</w:t>
      </w:r>
      <w:r w:rsidR="00DC0E10" w:rsidRPr="002D5FAB">
        <w:rPr>
          <w:rFonts w:ascii="Times New Roman" w:eastAsiaTheme="minorHAnsi" w:hAnsi="Times New Roman"/>
          <w:sz w:val="22"/>
          <w:szCs w:val="22"/>
        </w:rPr>
        <w:t>)</w:t>
      </w:r>
      <w:r w:rsidRPr="002D5FAB">
        <w:rPr>
          <w:rFonts w:ascii="Times New Roman" w:eastAsiaTheme="minorHAnsi" w:hAnsi="Times New Roman"/>
          <w:sz w:val="22"/>
          <w:szCs w:val="22"/>
        </w:rPr>
        <w:t xml:space="preserve">; </w:t>
      </w:r>
    </w:p>
    <w:p w:rsidR="006E1A43" w:rsidRPr="002D5FAB" w:rsidRDefault="006E1A43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6E1A43" w:rsidRPr="002D5FAB" w:rsidRDefault="006E1A43" w:rsidP="006E1A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D5FAB">
        <w:rPr>
          <w:rFonts w:ascii="Times New Roman" w:hAnsi="Times New Roman"/>
          <w:sz w:val="22"/>
          <w:szCs w:val="22"/>
        </w:rPr>
        <w:t xml:space="preserve">Considerando, por fim, o relatório e voto fundamentado </w:t>
      </w:r>
      <w:r w:rsidR="00DC0E10" w:rsidRPr="002D5FAB">
        <w:rPr>
          <w:rFonts w:ascii="Times New Roman" w:hAnsi="Times New Roman"/>
          <w:sz w:val="22"/>
          <w:szCs w:val="22"/>
        </w:rPr>
        <w:t>do</w:t>
      </w:r>
      <w:r w:rsidRPr="002D5FAB">
        <w:rPr>
          <w:rFonts w:ascii="Times New Roman" w:hAnsi="Times New Roman"/>
          <w:sz w:val="22"/>
          <w:szCs w:val="22"/>
        </w:rPr>
        <w:t xml:space="preserve"> </w:t>
      </w:r>
      <w:r w:rsidR="00DC0E10" w:rsidRPr="002D5FAB">
        <w:rPr>
          <w:rFonts w:ascii="Times New Roman" w:hAnsi="Times New Roman"/>
          <w:sz w:val="22"/>
          <w:szCs w:val="22"/>
        </w:rPr>
        <w:t>Conselheiro</w:t>
      </w:r>
      <w:r w:rsidRPr="002D5FAB">
        <w:rPr>
          <w:rFonts w:ascii="Times New Roman" w:hAnsi="Times New Roman"/>
          <w:sz w:val="22"/>
          <w:szCs w:val="22"/>
        </w:rPr>
        <w:t xml:space="preserve"> </w:t>
      </w:r>
      <w:r w:rsidR="007F08B1" w:rsidRPr="002D5FAB">
        <w:rPr>
          <w:rFonts w:ascii="Times New Roman" w:hAnsi="Times New Roman"/>
          <w:sz w:val="22"/>
          <w:szCs w:val="22"/>
        </w:rPr>
        <w:t>Manoel Joaquim Tostes</w:t>
      </w:r>
      <w:r w:rsidR="00DC0E10" w:rsidRPr="002D5FAB">
        <w:rPr>
          <w:rFonts w:ascii="Times New Roman" w:hAnsi="Times New Roman"/>
          <w:sz w:val="22"/>
          <w:szCs w:val="22"/>
        </w:rPr>
        <w:t xml:space="preserve">, </w:t>
      </w:r>
      <w:r w:rsidRPr="002D5FAB">
        <w:rPr>
          <w:rFonts w:ascii="Times New Roman" w:hAnsi="Times New Roman"/>
          <w:sz w:val="22"/>
          <w:szCs w:val="22"/>
        </w:rPr>
        <w:t xml:space="preserve">acerca do processo, </w:t>
      </w:r>
      <w:r w:rsidR="006868B4" w:rsidRPr="002D5FAB">
        <w:rPr>
          <w:rFonts w:ascii="Times New Roman" w:hAnsi="Times New Roman"/>
          <w:sz w:val="22"/>
          <w:szCs w:val="22"/>
        </w:rPr>
        <w:t xml:space="preserve">no qual vota </w:t>
      </w:r>
      <w:r w:rsidRPr="002D5FAB">
        <w:rPr>
          <w:rFonts w:ascii="Times New Roman" w:hAnsi="Times New Roman"/>
          <w:sz w:val="22"/>
          <w:szCs w:val="22"/>
        </w:rPr>
        <w:t xml:space="preserve">pela </w:t>
      </w:r>
      <w:r w:rsidR="00DC0E10" w:rsidRPr="002D5FAB">
        <w:rPr>
          <w:rFonts w:ascii="Times New Roman" w:hAnsi="Times New Roman"/>
          <w:sz w:val="22"/>
          <w:szCs w:val="22"/>
        </w:rPr>
        <w:t xml:space="preserve">total </w:t>
      </w:r>
      <w:r w:rsidR="007F08B1" w:rsidRPr="002D5FAB">
        <w:rPr>
          <w:rFonts w:ascii="Times New Roman" w:hAnsi="Times New Roman"/>
          <w:sz w:val="22"/>
          <w:szCs w:val="22"/>
        </w:rPr>
        <w:t>im</w:t>
      </w:r>
      <w:r w:rsidR="00DC0E10" w:rsidRPr="002D5FAB">
        <w:rPr>
          <w:rFonts w:ascii="Times New Roman" w:hAnsi="Times New Roman"/>
          <w:sz w:val="22"/>
          <w:szCs w:val="22"/>
        </w:rPr>
        <w:t xml:space="preserve">procedência da </w:t>
      </w:r>
      <w:r w:rsidR="00A11161" w:rsidRPr="002D5FAB">
        <w:rPr>
          <w:rFonts w:ascii="Times New Roman" w:hAnsi="Times New Roman"/>
          <w:sz w:val="22"/>
          <w:szCs w:val="22"/>
        </w:rPr>
        <w:t xml:space="preserve">impugnação </w:t>
      </w:r>
      <w:r w:rsidR="006868B4" w:rsidRPr="002D5FAB">
        <w:rPr>
          <w:rFonts w:ascii="Times New Roman" w:hAnsi="Times New Roman"/>
          <w:sz w:val="22"/>
          <w:szCs w:val="22"/>
        </w:rPr>
        <w:t xml:space="preserve">apresentada através de recurso, </w:t>
      </w:r>
      <w:r w:rsidR="007F08B1" w:rsidRPr="002D5FAB">
        <w:rPr>
          <w:rFonts w:ascii="Times New Roman" w:hAnsi="Times New Roman"/>
          <w:sz w:val="22"/>
          <w:szCs w:val="22"/>
        </w:rPr>
        <w:t xml:space="preserve">pelo </w:t>
      </w:r>
      <w:r w:rsidR="007F08B1" w:rsidRPr="002D5FAB">
        <w:rPr>
          <w:rFonts w:ascii="Times New Roman" w:eastAsia="Calibri" w:hAnsi="Times New Roman"/>
          <w:sz w:val="22"/>
          <w:szCs w:val="22"/>
        </w:rPr>
        <w:t>Arquiteto e Urbanista ROGÉRIO HAMILTON GENOVÉSIO MEIRA - CPF 160.716.970-34</w:t>
      </w:r>
      <w:r w:rsidR="00A11161" w:rsidRPr="002D5FAB">
        <w:rPr>
          <w:rFonts w:ascii="Times New Roman" w:hAnsi="Times New Roman"/>
          <w:sz w:val="22"/>
          <w:szCs w:val="22"/>
        </w:rPr>
        <w:t xml:space="preserve">, </w:t>
      </w:r>
      <w:r w:rsidR="007F08B1" w:rsidRPr="002D5FAB">
        <w:rPr>
          <w:rFonts w:ascii="Times New Roman" w:hAnsi="Times New Roman"/>
          <w:sz w:val="22"/>
          <w:szCs w:val="22"/>
        </w:rPr>
        <w:t>mantendo o débito relativo à anuidade</w:t>
      </w:r>
      <w:r w:rsidR="006868B4" w:rsidRPr="002D5FAB">
        <w:rPr>
          <w:rFonts w:ascii="Times New Roman" w:hAnsi="Times New Roman"/>
          <w:sz w:val="22"/>
          <w:szCs w:val="22"/>
        </w:rPr>
        <w:t xml:space="preserve"> </w:t>
      </w:r>
      <w:r w:rsidR="007F08B1" w:rsidRPr="002D5FAB">
        <w:rPr>
          <w:rFonts w:ascii="Times New Roman" w:hAnsi="Times New Roman"/>
          <w:sz w:val="22"/>
          <w:szCs w:val="22"/>
        </w:rPr>
        <w:t xml:space="preserve">de </w:t>
      </w:r>
      <w:r w:rsidR="00A11161" w:rsidRPr="002D5FAB">
        <w:rPr>
          <w:rFonts w:ascii="Times New Roman" w:hAnsi="Times New Roman"/>
          <w:sz w:val="22"/>
          <w:szCs w:val="22"/>
        </w:rPr>
        <w:t>2015</w:t>
      </w:r>
      <w:r w:rsidR="00D2179D" w:rsidRPr="002D5FAB">
        <w:rPr>
          <w:rFonts w:ascii="Times New Roman" w:hAnsi="Times New Roman"/>
          <w:sz w:val="22"/>
          <w:szCs w:val="22"/>
        </w:rPr>
        <w:t>.</w:t>
      </w:r>
    </w:p>
    <w:p w:rsidR="009F76ED" w:rsidRPr="002D5FAB" w:rsidRDefault="00D53DA9" w:rsidP="00977CB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2D5FAB">
        <w:rPr>
          <w:rFonts w:ascii="Times New Roman" w:hAnsi="Times New Roman"/>
          <w:sz w:val="22"/>
          <w:szCs w:val="22"/>
        </w:rPr>
        <w:t xml:space="preserve"> </w:t>
      </w:r>
    </w:p>
    <w:p w:rsidR="00D53DA9" w:rsidRPr="002D5FAB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2D5FAB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2D5FA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2D5FAB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2D5FAB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2D5FAB">
        <w:rPr>
          <w:rFonts w:ascii="Times New Roman" w:hAnsi="Times New Roman"/>
          <w:sz w:val="22"/>
          <w:szCs w:val="22"/>
          <w:lang w:eastAsia="pt-BR"/>
        </w:rPr>
        <w:tab/>
      </w:r>
    </w:p>
    <w:p w:rsidR="00D2179D" w:rsidRPr="002D5FAB" w:rsidRDefault="006868B4" w:rsidP="00A11161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2D5FAB">
        <w:rPr>
          <w:rFonts w:ascii="Times New Roman" w:hAnsi="Times New Roman"/>
          <w:sz w:val="22"/>
          <w:szCs w:val="22"/>
        </w:rPr>
        <w:t xml:space="preserve">Julgar </w:t>
      </w:r>
      <w:r w:rsidR="007F08B1" w:rsidRPr="002D5FAB">
        <w:rPr>
          <w:rFonts w:ascii="Times New Roman" w:hAnsi="Times New Roman"/>
          <w:sz w:val="22"/>
          <w:szCs w:val="22"/>
        </w:rPr>
        <w:t>im</w:t>
      </w:r>
      <w:r w:rsidR="00A11161" w:rsidRPr="002D5FAB">
        <w:rPr>
          <w:rFonts w:ascii="Times New Roman" w:hAnsi="Times New Roman"/>
          <w:sz w:val="22"/>
          <w:szCs w:val="22"/>
        </w:rPr>
        <w:t xml:space="preserve">procedente a impugnação, </w:t>
      </w:r>
      <w:r w:rsidR="007F08B1" w:rsidRPr="002D5FAB">
        <w:rPr>
          <w:rFonts w:ascii="Times New Roman" w:hAnsi="Times New Roman"/>
          <w:sz w:val="22"/>
          <w:szCs w:val="22"/>
        </w:rPr>
        <w:t xml:space="preserve">mantendo </w:t>
      </w:r>
      <w:r w:rsidRPr="002D5FAB">
        <w:rPr>
          <w:rFonts w:ascii="Times New Roman" w:hAnsi="Times New Roman"/>
          <w:sz w:val="22"/>
          <w:szCs w:val="22"/>
        </w:rPr>
        <w:t xml:space="preserve">a </w:t>
      </w:r>
      <w:r w:rsidR="007F08B1" w:rsidRPr="002D5FAB">
        <w:rPr>
          <w:rFonts w:ascii="Times New Roman" w:hAnsi="Times New Roman"/>
          <w:sz w:val="22"/>
          <w:szCs w:val="22"/>
        </w:rPr>
        <w:t>cobrança da anuidade</w:t>
      </w:r>
      <w:r w:rsidR="00A11161" w:rsidRPr="002D5FAB">
        <w:rPr>
          <w:rFonts w:ascii="Times New Roman" w:hAnsi="Times New Roman"/>
          <w:sz w:val="22"/>
          <w:szCs w:val="22"/>
        </w:rPr>
        <w:t xml:space="preserve"> </w:t>
      </w:r>
      <w:r w:rsidR="007F08B1" w:rsidRPr="002D5FAB">
        <w:rPr>
          <w:rFonts w:ascii="Times New Roman" w:hAnsi="Times New Roman"/>
          <w:sz w:val="22"/>
          <w:szCs w:val="22"/>
        </w:rPr>
        <w:t xml:space="preserve">de 2015, </w:t>
      </w:r>
      <w:r w:rsidRPr="002D5FAB">
        <w:rPr>
          <w:rFonts w:ascii="Times New Roman" w:hAnsi="Times New Roman"/>
          <w:sz w:val="22"/>
          <w:szCs w:val="22"/>
        </w:rPr>
        <w:t xml:space="preserve">do profissional </w:t>
      </w:r>
      <w:r w:rsidR="007F08B1" w:rsidRPr="002D5FAB">
        <w:rPr>
          <w:rFonts w:ascii="Times New Roman" w:eastAsia="Calibri" w:hAnsi="Times New Roman"/>
          <w:sz w:val="22"/>
          <w:szCs w:val="22"/>
        </w:rPr>
        <w:t>Arquiteto e Urbanista ROGÉRIO HAMILTON GENOVÉSIO MEIRA - CPF 160.716.970-34</w:t>
      </w:r>
      <w:r w:rsidRPr="002D5FAB">
        <w:rPr>
          <w:rFonts w:ascii="Times New Roman" w:hAnsi="Times New Roman"/>
          <w:sz w:val="22"/>
          <w:szCs w:val="22"/>
        </w:rPr>
        <w:t>;</w:t>
      </w:r>
      <w:r w:rsidR="00A11161" w:rsidRPr="002D5FAB">
        <w:rPr>
          <w:rFonts w:ascii="Times New Roman" w:hAnsi="Times New Roman"/>
          <w:sz w:val="22"/>
          <w:szCs w:val="22"/>
        </w:rPr>
        <w:t xml:space="preserve"> </w:t>
      </w:r>
    </w:p>
    <w:p w:rsidR="00CA5050" w:rsidRPr="002D5FAB" w:rsidRDefault="00CA5050" w:rsidP="00CA5050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2179D" w:rsidRPr="002D5FAB" w:rsidRDefault="00AE5145" w:rsidP="00D2179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2D5FAB">
        <w:rPr>
          <w:rFonts w:ascii="Times New Roman" w:hAnsi="Times New Roman"/>
          <w:sz w:val="22"/>
          <w:szCs w:val="22"/>
        </w:rPr>
        <w:t>Encaminhar o presente processo à Gerência Financeira, para notificação da parte</w:t>
      </w:r>
      <w:r w:rsidR="00E44C3C" w:rsidRPr="002D5FAB">
        <w:rPr>
          <w:rFonts w:ascii="Times New Roman" w:hAnsi="Times New Roman"/>
          <w:sz w:val="22"/>
          <w:szCs w:val="22"/>
        </w:rPr>
        <w:t xml:space="preserve"> e demais encaminhamentos</w:t>
      </w:r>
      <w:r w:rsidR="00A11161" w:rsidRPr="002D5FAB">
        <w:rPr>
          <w:rFonts w:ascii="Times New Roman" w:hAnsi="Times New Roman"/>
          <w:sz w:val="22"/>
          <w:szCs w:val="22"/>
        </w:rPr>
        <w:t xml:space="preserve"> necessários</w:t>
      </w:r>
      <w:r w:rsidR="007F08B1" w:rsidRPr="002D5FAB">
        <w:rPr>
          <w:rFonts w:ascii="Times New Roman" w:hAnsi="Times New Roman"/>
          <w:sz w:val="22"/>
          <w:szCs w:val="22"/>
        </w:rPr>
        <w:t>.</w:t>
      </w:r>
    </w:p>
    <w:p w:rsidR="00D2179D" w:rsidRPr="002D5FAB" w:rsidRDefault="00D2179D" w:rsidP="00D2179D">
      <w:pPr>
        <w:pStyle w:val="PargrafodaLista"/>
        <w:rPr>
          <w:rFonts w:ascii="Times New Roman" w:hAnsi="Times New Roman"/>
          <w:sz w:val="22"/>
          <w:szCs w:val="22"/>
        </w:rPr>
      </w:pPr>
    </w:p>
    <w:p w:rsidR="00D53DA9" w:rsidRPr="002D5FAB" w:rsidRDefault="00D53DA9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2D5FAB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60B4A" w:rsidRPr="002D5FAB" w:rsidRDefault="00960B4A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7F08B1" w:rsidRPr="009A4754" w:rsidRDefault="007F08B1" w:rsidP="007F08B1">
      <w:pPr>
        <w:jc w:val="both"/>
      </w:pPr>
      <w:r w:rsidRPr="002D5FAB">
        <w:rPr>
          <w:rFonts w:ascii="Times New Roman" w:hAnsi="Times New Roman"/>
          <w:sz w:val="22"/>
          <w:szCs w:val="22"/>
          <w:lang w:eastAsia="pt-BR"/>
        </w:rPr>
        <w:t xml:space="preserve">Com 15 (quinze) votos favoráveis dos conselheiros </w:t>
      </w:r>
      <w:r w:rsidRPr="002D5FAB">
        <w:rPr>
          <w:rFonts w:ascii="Times New Roman" w:hAnsi="Times New Roman"/>
          <w:sz w:val="22"/>
          <w:szCs w:val="22"/>
        </w:rPr>
        <w:t xml:space="preserve">Alvino Jara, Claudio Fischer, Clóvis </w:t>
      </w:r>
      <w:proofErr w:type="spellStart"/>
      <w:r w:rsidRPr="002D5FAB">
        <w:rPr>
          <w:rFonts w:ascii="Times New Roman" w:hAnsi="Times New Roman"/>
          <w:sz w:val="22"/>
          <w:szCs w:val="22"/>
        </w:rPr>
        <w:t>Ilgenfritz</w:t>
      </w:r>
      <w:proofErr w:type="spellEnd"/>
      <w:r w:rsidRPr="002D5FAB">
        <w:rPr>
          <w:rFonts w:ascii="Times New Roman" w:hAnsi="Times New Roman"/>
          <w:sz w:val="22"/>
          <w:szCs w:val="22"/>
        </w:rPr>
        <w:t xml:space="preserve"> da Silva,</w:t>
      </w:r>
      <w:r w:rsidRPr="00027736">
        <w:rPr>
          <w:rFonts w:ascii="Times New Roman" w:hAnsi="Times New Roman"/>
          <w:sz w:val="22"/>
          <w:szCs w:val="22"/>
        </w:rPr>
        <w:t xml:space="preserve"> Marisa Potter, José Arthur Fell, Manoel Joaquim Tostes, Roberta Krahe Edelweiss, Oritz Adriano Adams de Campos, Paulo Fernando do Amaral Fontana, Paulo Ricardo Bregatto, Emilio Merino Dominguez, Roberto Luiz </w:t>
      </w:r>
      <w:proofErr w:type="spellStart"/>
      <w:r w:rsidRPr="00027736">
        <w:rPr>
          <w:rFonts w:ascii="Times New Roman" w:hAnsi="Times New Roman"/>
          <w:sz w:val="22"/>
          <w:szCs w:val="22"/>
        </w:rPr>
        <w:t>Decó</w:t>
      </w:r>
      <w:proofErr w:type="spellEnd"/>
      <w:r w:rsidRPr="00027736">
        <w:rPr>
          <w:rFonts w:ascii="Times New Roman" w:hAnsi="Times New Roman"/>
          <w:sz w:val="22"/>
          <w:szCs w:val="22"/>
        </w:rPr>
        <w:t>, Rodrigo Spinelli, Rômulo Plentz Giralt e Vinicius Vieira de Souza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>03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três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) ausências dos conselheiros Bernardo Henrique </w:t>
      </w:r>
      <w:proofErr w:type="spellStart"/>
      <w:r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E47BFC" w:rsidRPr="00960B4A" w:rsidRDefault="00E47BFC" w:rsidP="006C55C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47BFC" w:rsidRPr="00960B4A" w:rsidRDefault="00E47BFC" w:rsidP="00E47BF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E4DA7" w:rsidRPr="00840741" w:rsidRDefault="001E4DA7" w:rsidP="001E4DA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29 de março de</w:t>
      </w:r>
      <w:r w:rsidRPr="00840741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</w:t>
      </w:r>
      <w:r w:rsidRPr="00840741">
        <w:rPr>
          <w:rFonts w:ascii="Times New Roman" w:hAnsi="Times New Roman"/>
          <w:sz w:val="22"/>
          <w:szCs w:val="22"/>
        </w:rPr>
        <w:t>.</w:t>
      </w:r>
    </w:p>
    <w:p w:rsidR="001E4DA7" w:rsidRDefault="001E4DA7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E4DA7" w:rsidRPr="00840741" w:rsidRDefault="001E4DA7" w:rsidP="001E4DA7">
      <w:pPr>
        <w:tabs>
          <w:tab w:val="left" w:pos="864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40741">
        <w:rPr>
          <w:rFonts w:ascii="Times New Roman" w:hAnsi="Times New Roman"/>
          <w:b/>
          <w:bCs/>
          <w:sz w:val="22"/>
          <w:szCs w:val="22"/>
        </w:rPr>
        <w:t xml:space="preserve">TIAGO HOLZMANN DA SILVA </w:t>
      </w:r>
    </w:p>
    <w:p w:rsidR="001E4DA7" w:rsidRPr="00840741" w:rsidRDefault="002D5FAB" w:rsidP="001E4DA7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247C77DC7EED495FB48F49EE64E18FBF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E4DA7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1E4DA7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</w:p>
    <w:p w:rsidR="001E4DA7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p w:rsidR="001E4DA7" w:rsidRPr="00840741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3762EE">
        <w:rPr>
          <w:rFonts w:ascii="Times New Roman" w:hAnsi="Times New Roman"/>
          <w:b/>
          <w:bCs/>
          <w:sz w:val="22"/>
          <w:szCs w:val="22"/>
          <w:lang w:eastAsia="pt-BR"/>
        </w:rPr>
        <w:t>19ª REUNIÃO PLENÁRIA EXTRAORDINÁRIA DO CAU/RS</w:t>
      </w:r>
    </w:p>
    <w:p w:rsidR="001E4DA7" w:rsidRPr="00840741" w:rsidRDefault="001E4DA7" w:rsidP="001E4D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E4DA7" w:rsidRPr="00840741" w:rsidRDefault="001E4DA7" w:rsidP="001E4D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E4DA7" w:rsidRPr="00840741" w:rsidTr="00711A7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E4DA7" w:rsidRPr="00840741" w:rsidTr="00711A72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711A7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711A7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711A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711A72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7F08B1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E4DA7" w:rsidRPr="00840741" w:rsidRDefault="001E4DA7" w:rsidP="001E4DA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E4DA7" w:rsidRPr="00840741" w:rsidTr="00711A7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711A7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1E4DA7" w:rsidRPr="00840741" w:rsidTr="00711A7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711A7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1E4DA7" w:rsidRPr="00840741" w:rsidTr="00711A7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711A7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1E4DA7" w:rsidRPr="00840741" w:rsidRDefault="001E4DA7" w:rsidP="00711A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DPE-RS 017/2019 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4B66">
              <w:rPr>
                <w:rFonts w:ascii="Times New Roman" w:hAnsi="Times New Roman"/>
                <w:sz w:val="20"/>
                <w:szCs w:val="20"/>
              </w:rPr>
              <w:t>Homologa encaminhamentos acerca d</w:t>
            </w:r>
            <w:r>
              <w:rPr>
                <w:rFonts w:ascii="Times New Roman" w:hAnsi="Times New Roman"/>
                <w:sz w:val="20"/>
                <w:szCs w:val="20"/>
              </w:rPr>
              <w:t>o processo administrativo</w:t>
            </w:r>
            <w:r w:rsidRPr="00B54B66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>
              <w:rPr>
                <w:rFonts w:ascii="Times New Roman" w:hAnsi="Times New Roman"/>
                <w:sz w:val="20"/>
                <w:szCs w:val="20"/>
              </w:rPr>
              <w:t>1032/2018</w:t>
            </w:r>
            <w:r w:rsidRPr="005435B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4DA7" w:rsidRPr="00840741" w:rsidRDefault="001E4DA7" w:rsidP="00711A7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E4DA7" w:rsidRPr="00840741" w:rsidTr="00711A72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7F08B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7F08B1">
              <w:rPr>
                <w:rFonts w:ascii="Times New Roman" w:hAnsi="Times New Roman"/>
                <w:sz w:val="20"/>
                <w:szCs w:val="20"/>
              </w:rPr>
              <w:t>15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7F08B1">
              <w:rPr>
                <w:rFonts w:ascii="Times New Roman" w:hAnsi="Times New Roman"/>
                <w:sz w:val="20"/>
                <w:szCs w:val="20"/>
              </w:rPr>
              <w:t>03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E4DA7" w:rsidRPr="00840741" w:rsidTr="00711A7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711A7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1E4DA7" w:rsidRPr="00840741" w:rsidTr="00711A72">
        <w:trPr>
          <w:trHeight w:val="257"/>
        </w:trPr>
        <w:tc>
          <w:tcPr>
            <w:tcW w:w="4530" w:type="dxa"/>
            <w:shd w:val="clear" w:color="auto" w:fill="D9D9D9"/>
          </w:tcPr>
          <w:p w:rsidR="001E4DA7" w:rsidRPr="00840741" w:rsidRDefault="001E4DA7" w:rsidP="00711A7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1E4DA7" w:rsidRPr="00840741" w:rsidRDefault="001E4DA7" w:rsidP="00711A7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1E4DA7" w:rsidRPr="00840741" w:rsidRDefault="001E4DA7" w:rsidP="001E4DA7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1E4DA7" w:rsidRPr="00840741" w:rsidRDefault="001E4DA7" w:rsidP="001E4DA7">
      <w:pPr>
        <w:jc w:val="both"/>
        <w:rPr>
          <w:rFonts w:ascii="Times New Roman" w:hAnsi="Times New Roman"/>
          <w:sz w:val="20"/>
          <w:szCs w:val="20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AE5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55" w:rsidRDefault="00383F55" w:rsidP="004C3048">
      <w:r>
        <w:separator/>
      </w:r>
    </w:p>
  </w:endnote>
  <w:endnote w:type="continuationSeparator" w:id="0">
    <w:p w:rsidR="00383F55" w:rsidRDefault="00383F5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5FA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5FA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55" w:rsidRDefault="00383F55" w:rsidP="004C3048">
      <w:r>
        <w:separator/>
      </w:r>
    </w:p>
  </w:footnote>
  <w:footnote w:type="continuationSeparator" w:id="0">
    <w:p w:rsidR="00383F55" w:rsidRDefault="00383F5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416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B167C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4DA7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D3961"/>
    <w:rsid w:val="002D4361"/>
    <w:rsid w:val="002D5FAB"/>
    <w:rsid w:val="002D776E"/>
    <w:rsid w:val="002E293E"/>
    <w:rsid w:val="002F2AD1"/>
    <w:rsid w:val="00302BAF"/>
    <w:rsid w:val="003030F1"/>
    <w:rsid w:val="00303C9E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83F55"/>
    <w:rsid w:val="003945A8"/>
    <w:rsid w:val="003A699B"/>
    <w:rsid w:val="003B4E9A"/>
    <w:rsid w:val="003B7D60"/>
    <w:rsid w:val="003C1720"/>
    <w:rsid w:val="003C3C3A"/>
    <w:rsid w:val="003C484E"/>
    <w:rsid w:val="003E69DA"/>
    <w:rsid w:val="003F17D8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877E8"/>
    <w:rsid w:val="0059259E"/>
    <w:rsid w:val="005B4B10"/>
    <w:rsid w:val="005D2FBE"/>
    <w:rsid w:val="005D3D88"/>
    <w:rsid w:val="005E2D9F"/>
    <w:rsid w:val="005E54BA"/>
    <w:rsid w:val="005F3D1B"/>
    <w:rsid w:val="005F47CB"/>
    <w:rsid w:val="00601FB6"/>
    <w:rsid w:val="0060634C"/>
    <w:rsid w:val="006110D5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8506B"/>
    <w:rsid w:val="006868B4"/>
    <w:rsid w:val="00690C35"/>
    <w:rsid w:val="0069229F"/>
    <w:rsid w:val="00695335"/>
    <w:rsid w:val="006B670F"/>
    <w:rsid w:val="006C14F3"/>
    <w:rsid w:val="006C55CF"/>
    <w:rsid w:val="006C75E7"/>
    <w:rsid w:val="006D2981"/>
    <w:rsid w:val="006E1A43"/>
    <w:rsid w:val="006E2391"/>
    <w:rsid w:val="006E4AA0"/>
    <w:rsid w:val="006F251A"/>
    <w:rsid w:val="006F4E9B"/>
    <w:rsid w:val="006F6327"/>
    <w:rsid w:val="007025F0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A4F8F"/>
    <w:rsid w:val="007B7B0D"/>
    <w:rsid w:val="007B7BB9"/>
    <w:rsid w:val="007C0FB9"/>
    <w:rsid w:val="007C50BE"/>
    <w:rsid w:val="007C50F4"/>
    <w:rsid w:val="007F08B1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196"/>
    <w:rsid w:val="00874A65"/>
    <w:rsid w:val="0088776F"/>
    <w:rsid w:val="00890C7F"/>
    <w:rsid w:val="008A59CF"/>
    <w:rsid w:val="008A6E88"/>
    <w:rsid w:val="008A7323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0B4A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43E0"/>
    <w:rsid w:val="009F76ED"/>
    <w:rsid w:val="00A00AF9"/>
    <w:rsid w:val="00A050DB"/>
    <w:rsid w:val="00A11161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944CD"/>
    <w:rsid w:val="00AC4DA6"/>
    <w:rsid w:val="00AE2654"/>
    <w:rsid w:val="00AE5145"/>
    <w:rsid w:val="00AF368E"/>
    <w:rsid w:val="00B04170"/>
    <w:rsid w:val="00B129F6"/>
    <w:rsid w:val="00B15D4F"/>
    <w:rsid w:val="00B23E93"/>
    <w:rsid w:val="00B251F8"/>
    <w:rsid w:val="00B309B7"/>
    <w:rsid w:val="00B3272B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D071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A5050"/>
    <w:rsid w:val="00CB4358"/>
    <w:rsid w:val="00CB4643"/>
    <w:rsid w:val="00CC5EB2"/>
    <w:rsid w:val="00CD0E69"/>
    <w:rsid w:val="00CE4E08"/>
    <w:rsid w:val="00CE543B"/>
    <w:rsid w:val="00CF2FBA"/>
    <w:rsid w:val="00D16EA6"/>
    <w:rsid w:val="00D213CD"/>
    <w:rsid w:val="00D2179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614D"/>
    <w:rsid w:val="00D8757D"/>
    <w:rsid w:val="00D9535A"/>
    <w:rsid w:val="00DA433B"/>
    <w:rsid w:val="00DA56A9"/>
    <w:rsid w:val="00DB0CAD"/>
    <w:rsid w:val="00DB183F"/>
    <w:rsid w:val="00DB4045"/>
    <w:rsid w:val="00DB4EA6"/>
    <w:rsid w:val="00DB5336"/>
    <w:rsid w:val="00DC0E10"/>
    <w:rsid w:val="00DC2186"/>
    <w:rsid w:val="00DC48BD"/>
    <w:rsid w:val="00DD09A6"/>
    <w:rsid w:val="00DD16FB"/>
    <w:rsid w:val="00DE67B2"/>
    <w:rsid w:val="00DF2B5B"/>
    <w:rsid w:val="00DF3D90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4C3C"/>
    <w:rsid w:val="00E47A74"/>
    <w:rsid w:val="00E47BFC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37B7"/>
    <w:rsid w:val="00F5424C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7C77DC7EED495FB48F49EE64E18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842D7-7A1C-4EE7-A4D2-4F129DE2E0B0}"/>
      </w:docPartPr>
      <w:docPartBody>
        <w:p w:rsidR="003E5E42" w:rsidRDefault="00F51F75" w:rsidP="00F51F75">
          <w:pPr>
            <w:pStyle w:val="247C77DC7EED495FB48F49EE64E18FBF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3E5E42"/>
    <w:rsid w:val="004B10B3"/>
    <w:rsid w:val="00787250"/>
    <w:rsid w:val="007B24C5"/>
    <w:rsid w:val="00A12654"/>
    <w:rsid w:val="00B57B6F"/>
    <w:rsid w:val="00E21AD8"/>
    <w:rsid w:val="00F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51F75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  <w:style w:type="paragraph" w:customStyle="1" w:styleId="247C77DC7EED495FB48F49EE64E18FBF">
    <w:name w:val="247C77DC7EED495FB48F49EE64E18FBF"/>
    <w:rsid w:val="00F51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EC98-6EFB-423E-A6EB-D6D9901C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3991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2019-03-25T13:35:00Z</cp:lastPrinted>
  <dcterms:created xsi:type="dcterms:W3CDTF">2019-04-01T17:27:00Z</dcterms:created>
  <dcterms:modified xsi:type="dcterms:W3CDTF">2019-04-01T17:27:00Z</dcterms:modified>
</cp:coreProperties>
</file>